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5BACD7E9" w:rsidR="00303591" w:rsidRPr="00330CB1" w:rsidRDefault="00303591" w:rsidP="00303591">
      <w:pPr>
        <w:pStyle w:val="Header"/>
        <w:tabs>
          <w:tab w:val="right" w:pos="9639"/>
        </w:tabs>
        <w:jc w:val="both"/>
        <w:rPr>
          <w:rFonts w:cs="Courier New"/>
          <w:sz w:val="24"/>
          <w:szCs w:val="24"/>
        </w:rPr>
      </w:pPr>
      <w:bookmarkStart w:id="0" w:name="_Hlk16073148"/>
      <w:bookmarkEnd w:id="0"/>
      <w:r w:rsidRPr="00330CB1">
        <w:rPr>
          <w:rFonts w:cs="Courier New"/>
          <w:sz w:val="24"/>
          <w:szCs w:val="24"/>
        </w:rPr>
        <w:t>3GPP TSG-RAN WG4 #</w:t>
      </w:r>
      <w:r w:rsidR="000650CF" w:rsidRPr="00330CB1">
        <w:rPr>
          <w:rFonts w:cs="Arial"/>
          <w:sz w:val="24"/>
          <w:szCs w:val="24"/>
        </w:rPr>
        <w:t>9</w:t>
      </w:r>
      <w:r w:rsidR="00D94483">
        <w:rPr>
          <w:rFonts w:cs="Arial"/>
          <w:sz w:val="24"/>
          <w:szCs w:val="24"/>
        </w:rPr>
        <w:t>2</w:t>
      </w:r>
      <w:r w:rsidRPr="00330CB1">
        <w:rPr>
          <w:rFonts w:cs="Courier New"/>
          <w:sz w:val="24"/>
          <w:szCs w:val="24"/>
        </w:rPr>
        <w:tab/>
      </w:r>
      <w:r w:rsidR="0040698C" w:rsidRPr="00330CB1">
        <w:rPr>
          <w:rFonts w:cs="Courier New"/>
          <w:sz w:val="24"/>
          <w:szCs w:val="24"/>
        </w:rPr>
        <w:t>R4-1</w:t>
      </w:r>
      <w:r w:rsidR="00B42D1D" w:rsidRPr="00330CB1">
        <w:rPr>
          <w:rFonts w:cs="Courier New"/>
          <w:sz w:val="24"/>
          <w:szCs w:val="24"/>
        </w:rPr>
        <w:t>9</w:t>
      </w:r>
      <w:r w:rsidR="00FC0620" w:rsidRPr="00330CB1">
        <w:rPr>
          <w:rFonts w:cs="Courier New"/>
          <w:sz w:val="24"/>
          <w:szCs w:val="24"/>
        </w:rPr>
        <w:t>0</w:t>
      </w:r>
      <w:r w:rsidR="00EB46B8">
        <w:rPr>
          <w:rFonts w:cs="Courier New"/>
          <w:sz w:val="24"/>
          <w:szCs w:val="24"/>
        </w:rPr>
        <w:t>8872</w:t>
      </w:r>
    </w:p>
    <w:p w14:paraId="3502ADA3" w14:textId="04075148" w:rsidR="009C1F3F" w:rsidRPr="001D0744" w:rsidRDefault="00D94483" w:rsidP="00AC033F">
      <w:pPr>
        <w:pStyle w:val="Header"/>
        <w:jc w:val="both"/>
        <w:rPr>
          <w:rFonts w:cs="Arial"/>
          <w:b w:val="0"/>
        </w:rPr>
      </w:pPr>
      <w:r>
        <w:rPr>
          <w:rFonts w:cs="Arial"/>
          <w:sz w:val="24"/>
          <w:szCs w:val="24"/>
        </w:rPr>
        <w:t>Ljubljana</w:t>
      </w:r>
      <w:r w:rsidR="00B42D1D" w:rsidRPr="00370CE3">
        <w:rPr>
          <w:rFonts w:cs="Arial"/>
          <w:sz w:val="24"/>
          <w:szCs w:val="24"/>
        </w:rPr>
        <w:t xml:space="preserve">, </w:t>
      </w:r>
      <w:r>
        <w:rPr>
          <w:rFonts w:cs="Arial"/>
          <w:sz w:val="24"/>
          <w:szCs w:val="24"/>
        </w:rPr>
        <w:t>Slovenia, 26</w:t>
      </w:r>
      <w:r w:rsidRPr="00D94483">
        <w:rPr>
          <w:rFonts w:cs="Arial"/>
          <w:sz w:val="24"/>
          <w:szCs w:val="24"/>
          <w:vertAlign w:val="superscript"/>
        </w:rPr>
        <w:t>th</w:t>
      </w:r>
      <w:r>
        <w:rPr>
          <w:rFonts w:cs="Arial"/>
          <w:sz w:val="24"/>
          <w:szCs w:val="24"/>
        </w:rPr>
        <w:t xml:space="preserve"> – 30</w:t>
      </w:r>
      <w:r w:rsidRPr="00D94483">
        <w:rPr>
          <w:rFonts w:cs="Arial"/>
          <w:sz w:val="24"/>
          <w:szCs w:val="24"/>
          <w:vertAlign w:val="superscript"/>
        </w:rPr>
        <w:t>th</w:t>
      </w:r>
      <w:r>
        <w:rPr>
          <w:rFonts w:cs="Arial"/>
          <w:sz w:val="24"/>
          <w:szCs w:val="24"/>
        </w:rPr>
        <w:t xml:space="preserve"> August</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42690F57"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D61E5E">
        <w:rPr>
          <w:rFonts w:ascii="Arial" w:hAnsi="Arial"/>
          <w:sz w:val="24"/>
          <w:lang w:val="it-IT"/>
        </w:rPr>
        <w:t>9.5.2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4C2D6058"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1C3E">
        <w:rPr>
          <w:rFonts w:ascii="Arial" w:hAnsi="Arial"/>
          <w:sz w:val="24"/>
          <w:lang w:val="en-US"/>
        </w:rPr>
        <w:t xml:space="preserve">Simulation </w:t>
      </w:r>
      <w:r w:rsidR="00BD5ADD">
        <w:rPr>
          <w:rFonts w:ascii="Arial" w:hAnsi="Arial"/>
          <w:sz w:val="24"/>
          <w:lang w:val="en-US"/>
        </w:rPr>
        <w:t>results for</w:t>
      </w:r>
      <w:r w:rsidR="00EB46B8">
        <w:rPr>
          <w:rFonts w:ascii="Arial" w:hAnsi="Arial"/>
          <w:sz w:val="24"/>
          <w:lang w:val="en-US"/>
        </w:rPr>
        <w:t xml:space="preserve"> the</w:t>
      </w:r>
      <w:r w:rsidR="00BD5ADD">
        <w:rPr>
          <w:rFonts w:ascii="Arial" w:hAnsi="Arial"/>
          <w:sz w:val="24"/>
          <w:lang w:val="en-US"/>
        </w:rPr>
        <w:t xml:space="preserve"> h</w:t>
      </w:r>
      <w:r w:rsidR="008B13D0">
        <w:rPr>
          <w:rFonts w:ascii="Arial" w:hAnsi="Arial"/>
          <w:sz w:val="24"/>
          <w:lang w:val="en-US"/>
        </w:rPr>
        <w:t>om</w:t>
      </w:r>
      <w:r w:rsidR="00BD5ADD">
        <w:rPr>
          <w:rFonts w:ascii="Arial" w:hAnsi="Arial"/>
          <w:sz w:val="24"/>
          <w:lang w:val="en-US"/>
        </w:rPr>
        <w:t>ogeneous scenario</w:t>
      </w:r>
      <w:r w:rsidR="00EB46B8">
        <w:rPr>
          <w:rFonts w:ascii="Arial" w:hAnsi="Arial"/>
          <w:sz w:val="24"/>
          <w:lang w:val="en-US"/>
        </w:rPr>
        <w:t xml:space="preserve"> in FR2</w:t>
      </w:r>
    </w:p>
    <w:p w14:paraId="48C5EFD4" w14:textId="0595026B"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DD6A93">
        <w:rPr>
          <w:rFonts w:ascii="Arial" w:hAnsi="Arial"/>
          <w:sz w:val="24"/>
          <w:lang w:val="en-US"/>
        </w:rPr>
        <w:t>Discussion</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77777777"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t>[1]</w:t>
      </w:r>
      <w:r>
        <w:fldChar w:fldCharType="end"/>
      </w:r>
      <w:r>
        <w:t>. Among the objectives of the work item, RAN4 is tasked to define RF and RRM requirements for both backhaul (BH) and access links of an IAB-node including requirements for co-existence (e.g. ACLR, ACS).</w:t>
      </w:r>
    </w:p>
    <w:p w14:paraId="5AE3FB1F" w14:textId="55A72AF6" w:rsidR="00BD206E" w:rsidRDefault="00BD206E" w:rsidP="00BD206E">
      <w:pPr>
        <w:rPr>
          <w:lang w:val="en-US"/>
        </w:rPr>
      </w:pPr>
      <w:r w:rsidRPr="00FA25E3">
        <w:rPr>
          <w:lang w:val="en-US"/>
        </w:rPr>
        <w:t>In RAN4#90bis Integrated A</w:t>
      </w:r>
      <w:r>
        <w:rPr>
          <w:lang w:val="en-US"/>
        </w:rPr>
        <w:t xml:space="preserve">ccess and Backhauling (IAB) WI started. There was a preliminary but intensive discussion among interested companies, that resulted in the agreement of the work-plan for RAN4#91 </w:t>
      </w:r>
      <w:r>
        <w:rPr>
          <w:lang w:val="en-US"/>
        </w:rPr>
        <w:fldChar w:fldCharType="begin"/>
      </w:r>
      <w:r>
        <w:rPr>
          <w:lang w:val="en-US"/>
        </w:rPr>
        <w:instrText xml:space="preserve"> REF _Ref7184787 \n \h </w:instrText>
      </w:r>
      <w:r>
        <w:rPr>
          <w:lang w:val="en-US"/>
        </w:rPr>
      </w:r>
      <w:r>
        <w:rPr>
          <w:lang w:val="en-US"/>
        </w:rPr>
        <w:fldChar w:fldCharType="separate"/>
      </w:r>
      <w:r>
        <w:rPr>
          <w:lang w:val="en-US"/>
        </w:rPr>
        <w:t>[2]</w:t>
      </w:r>
      <w:r>
        <w:rPr>
          <w:lang w:val="en-US"/>
        </w:rPr>
        <w:fldChar w:fldCharType="end"/>
      </w:r>
      <w:r>
        <w:rPr>
          <w:lang w:val="en-US"/>
        </w:rPr>
        <w:t xml:space="preserve">. </w:t>
      </w:r>
      <w:r w:rsidR="00F8079B">
        <w:rPr>
          <w:lang w:val="en-US"/>
        </w:rPr>
        <w:t xml:space="preserve">In RAN4#91, the discussion focused on simulation assumptions and the WF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774308">
        <w:rPr>
          <w:lang w:val="en-US"/>
        </w:rPr>
        <w:t>[4]</w:t>
      </w:r>
      <w:r w:rsidR="00774308">
        <w:rPr>
          <w:lang w:val="en-US"/>
        </w:rPr>
        <w:fldChar w:fldCharType="end"/>
      </w:r>
      <w:r w:rsidR="00774308">
        <w:rPr>
          <w:lang w:val="en-US"/>
        </w:rPr>
        <w:t xml:space="preserve"> was agreed</w:t>
      </w:r>
      <w:r>
        <w:rPr>
          <w:lang w:val="en-US"/>
        </w:rPr>
        <w:t xml:space="preserve">. </w:t>
      </w:r>
    </w:p>
    <w:p w14:paraId="7725BA63" w14:textId="7937A476" w:rsidR="00BD206E" w:rsidRPr="00FA25E3" w:rsidRDefault="00BD206E" w:rsidP="00BD206E">
      <w:pPr>
        <w:rPr>
          <w:lang w:val="en-US"/>
        </w:rPr>
      </w:pPr>
      <w:r>
        <w:rPr>
          <w:lang w:val="en-US"/>
        </w:rPr>
        <w:t xml:space="preserve">In this paper we present </w:t>
      </w:r>
      <w:r w:rsidR="00774308">
        <w:rPr>
          <w:lang w:val="en-US"/>
        </w:rPr>
        <w:t>preliminary simulation results for a h</w:t>
      </w:r>
      <w:r w:rsidR="005F7F03">
        <w:rPr>
          <w:lang w:val="en-US"/>
        </w:rPr>
        <w:t>omo</w:t>
      </w:r>
      <w:r w:rsidR="00774308">
        <w:rPr>
          <w:lang w:val="en-US"/>
        </w:rPr>
        <w:t>geneous scenario in FR2</w:t>
      </w:r>
      <w:r>
        <w:rPr>
          <w:lang w:val="en-US"/>
        </w:rPr>
        <w:t>.</w:t>
      </w:r>
      <w:r w:rsidR="00774308">
        <w:rPr>
          <w:lang w:val="en-US"/>
        </w:rPr>
        <w:t xml:space="preserve"> The analysis will be focused both in DL and UL duplex direction</w:t>
      </w:r>
      <w:r w:rsidR="000F43F3">
        <w:rPr>
          <w:lang w:val="en-US"/>
        </w:rPr>
        <w:t xml:space="preserve"> to derive IAB MT adjacent channel specifications</w:t>
      </w:r>
      <w:r w:rsidR="00774308">
        <w:rPr>
          <w:lang w:val="en-US"/>
        </w:rPr>
        <w:t xml:space="preserve">, based on the assumptions agreed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774308">
        <w:rPr>
          <w:lang w:val="en-US"/>
        </w:rPr>
        <w:t>[4]</w:t>
      </w:r>
      <w:r w:rsidR="00774308">
        <w:rPr>
          <w:lang w:val="en-US"/>
        </w:rPr>
        <w:fldChar w:fldCharType="end"/>
      </w:r>
      <w:r w:rsidR="00774308">
        <w:rPr>
          <w:lang w:val="en-US"/>
        </w:rPr>
        <w:t>. We conclude that</w:t>
      </w:r>
      <w:r w:rsidR="00BF34B1">
        <w:rPr>
          <w:lang w:val="en-US"/>
        </w:rPr>
        <w:t xml:space="preserve"> in the homogeneous scenario, an NR network and IAB network can co-exist in adjacent frequency channels when the IAB MT ACLR/ACS are specified as Rel-15 UE adjacent channel specifications.</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452B68CE" w14:textId="40A1EA3F" w:rsidR="00BD206E" w:rsidRDefault="0049741B" w:rsidP="001A3A6C">
      <w:r>
        <w:t xml:space="preserve">In RAN4#91 it was agreed to analyse two deployment layouts for </w:t>
      </w:r>
      <w:r w:rsidR="00946274">
        <w:t xml:space="preserve">the </w:t>
      </w:r>
      <w:r>
        <w:t xml:space="preserve">IAB network: heterogeneous and homogeneous layout. In this contribution we focus our analysis </w:t>
      </w:r>
      <w:r w:rsidR="00946274">
        <w:t>on</w:t>
      </w:r>
      <w:r>
        <w:t xml:space="preserve"> the h</w:t>
      </w:r>
      <w:r w:rsidR="00880C7D">
        <w:t>om</w:t>
      </w:r>
      <w:r>
        <w:t xml:space="preserve">ogeneous deployment case in which DL time slots are assigned to IAB DU transmission and MT reception whereas UL time slots are used for MT transmission or DU reception (so called Scenario 1 in </w:t>
      </w:r>
      <w:r>
        <w:fldChar w:fldCharType="begin"/>
      </w:r>
      <w:r>
        <w:instrText xml:space="preserve"> REF _Ref15981963 \n \h </w:instrText>
      </w:r>
      <w:r>
        <w:fldChar w:fldCharType="separate"/>
      </w:r>
      <w:r>
        <w:t>[4]</w:t>
      </w:r>
      <w:r>
        <w:fldChar w:fldCharType="end"/>
      </w:r>
      <w:r>
        <w:t>).</w:t>
      </w:r>
    </w:p>
    <w:p w14:paraId="1A8EA736" w14:textId="6A6CE6B7" w:rsidR="0049741B" w:rsidRDefault="00210A39" w:rsidP="001A3A6C">
      <w:r>
        <w:fldChar w:fldCharType="begin"/>
      </w:r>
      <w:r>
        <w:instrText xml:space="preserve"> REF _Ref15984812 \h </w:instrText>
      </w:r>
      <w:r>
        <w:fldChar w:fldCharType="separate"/>
      </w:r>
      <w:r>
        <w:t xml:space="preserve">Figure </w:t>
      </w:r>
      <w:r>
        <w:rPr>
          <w:noProof/>
        </w:rPr>
        <w:t>1</w:t>
      </w:r>
      <w:r>
        <w:fldChar w:fldCharType="end"/>
      </w:r>
      <w:r w:rsidR="00DB36E3">
        <w:t xml:space="preserve"> shows a pictorial representation of the </w:t>
      </w:r>
      <w:r w:rsidR="00880C7D">
        <w:t xml:space="preserve">homogeneous </w:t>
      </w:r>
      <w:r w:rsidR="00DB36E3">
        <w:t xml:space="preserve">layout where </w:t>
      </w:r>
      <w:r w:rsidR="0066241D">
        <w:t xml:space="preserve">the blue layout represents the NR network </w:t>
      </w:r>
      <w:r w:rsidR="00946274">
        <w:t>and</w:t>
      </w:r>
      <w:r w:rsidR="0066241D">
        <w:t xml:space="preserve"> the red layout represents the IAB network.</w:t>
      </w:r>
      <w:r w:rsidR="00DD4FC2">
        <w:t xml:space="preserve"> Both layouts are characterized by </w:t>
      </w:r>
      <w:r w:rsidR="00C2074F">
        <w:t>a</w:t>
      </w:r>
      <w:r w:rsidR="00DD4FC2">
        <w:t xml:space="preserve"> hexagonal deployment with antenna heights of 25m.</w:t>
      </w:r>
      <w:r w:rsidR="0066241D">
        <w:t xml:space="preserve"> Each IAB node is tri-sectorial and is connected to the donor node through a specific route (topology). </w:t>
      </w:r>
      <w:r w:rsidR="0066241D">
        <w:fldChar w:fldCharType="begin"/>
      </w:r>
      <w:r w:rsidR="0066241D">
        <w:instrText xml:space="preserve"> REF _Ref15984812 \h </w:instrText>
      </w:r>
      <w:r w:rsidR="0066241D">
        <w:fldChar w:fldCharType="separate"/>
      </w:r>
      <w:r w:rsidR="0066241D">
        <w:t xml:space="preserve">Figure </w:t>
      </w:r>
      <w:r w:rsidR="0066241D">
        <w:rPr>
          <w:noProof/>
        </w:rPr>
        <w:t>1</w:t>
      </w:r>
      <w:r w:rsidR="0066241D">
        <w:fldChar w:fldCharType="end"/>
      </w:r>
      <w:r w:rsidR="0066241D">
        <w:t>, however, shows only the active backhaul links at a specific time instance in which some nodes are acting like child nodes and communicating to their respective parent nodes.</w:t>
      </w:r>
      <w:r w:rsidR="00A570F5">
        <w:t xml:space="preserve"> Specificall</w:t>
      </w:r>
      <w:r w:rsidR="007944A6">
        <w:t xml:space="preserve">y, as explained in the legend, green circles represent IAB sites acting as child nodes in a specific time instance while purple stars represent IAB sites acting as parent nodes in a specific time instance. Notice that the child nodes in </w:t>
      </w:r>
      <w:r w:rsidR="007944A6">
        <w:fldChar w:fldCharType="begin"/>
      </w:r>
      <w:r w:rsidR="007944A6">
        <w:instrText xml:space="preserve"> REF _Ref15984812 \h </w:instrText>
      </w:r>
      <w:r w:rsidR="007944A6">
        <w:fldChar w:fldCharType="separate"/>
      </w:r>
      <w:r w:rsidR="007944A6">
        <w:t xml:space="preserve">Figure </w:t>
      </w:r>
      <w:r w:rsidR="007944A6">
        <w:rPr>
          <w:noProof/>
        </w:rPr>
        <w:t>1</w:t>
      </w:r>
      <w:r w:rsidR="007944A6">
        <w:fldChar w:fldCharType="end"/>
      </w:r>
      <w:r w:rsidR="007944A6">
        <w:t xml:space="preserve"> are not </w:t>
      </w:r>
      <w:r w:rsidR="00AB6FFF">
        <w:t xml:space="preserve">necessarily </w:t>
      </w:r>
      <w:r w:rsidR="007944A6">
        <w:t>leaf nodes (last in the topology chain), but simply IAB nodes scheduled to act as children in that specific time instance.</w:t>
      </w:r>
      <w:r w:rsidR="00866AA1">
        <w:t xml:space="preserve"> In fact, children activation is simultaneously subject to </w:t>
      </w:r>
      <w:r w:rsidR="00866AA1" w:rsidRPr="00866AA1">
        <w:t>half duplex conditions and the assumption that all three sectors of an IAB node are connected to the same parent through one specific sector</w:t>
      </w:r>
      <w:r w:rsidR="00866AA1">
        <w:t xml:space="preserve">. </w:t>
      </w:r>
    </w:p>
    <w:p w14:paraId="4FD21CF0" w14:textId="429F69D5" w:rsidR="0049741B" w:rsidRDefault="001B21BB" w:rsidP="0051140F">
      <w:pPr>
        <w:jc w:val="center"/>
      </w:pPr>
      <w:r>
        <w:rPr>
          <w:noProof/>
        </w:rPr>
        <w:lastRenderedPageBreak/>
        <mc:AlternateContent>
          <mc:Choice Requires="wps">
            <w:drawing>
              <wp:anchor distT="0" distB="0" distL="114300" distR="114300" simplePos="0" relativeHeight="251661312" behindDoc="0" locked="0" layoutInCell="1" allowOverlap="1" wp14:anchorId="07E6A1EC" wp14:editId="330AC464">
                <wp:simplePos x="0" y="0"/>
                <wp:positionH relativeFrom="margin">
                  <wp:posOffset>224790</wp:posOffset>
                </wp:positionH>
                <wp:positionV relativeFrom="paragraph">
                  <wp:posOffset>3406115</wp:posOffset>
                </wp:positionV>
                <wp:extent cx="5665470"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5665470" cy="635"/>
                        </a:xfrm>
                        <a:prstGeom prst="rect">
                          <a:avLst/>
                        </a:prstGeom>
                        <a:solidFill>
                          <a:prstClr val="white"/>
                        </a:solidFill>
                        <a:ln>
                          <a:noFill/>
                        </a:ln>
                      </wps:spPr>
                      <wps:txbx>
                        <w:txbxContent>
                          <w:p w14:paraId="6D04AAEF" w14:textId="58C8ABE3" w:rsidR="00210A39" w:rsidRPr="00F31B58" w:rsidRDefault="00210A39" w:rsidP="00210A39">
                            <w:pPr>
                              <w:pStyle w:val="Caption"/>
                              <w:jc w:val="center"/>
                            </w:pPr>
                            <w:bookmarkStart w:id="1" w:name="_Ref15984812"/>
                            <w:r>
                              <w:t xml:space="preserve">Figure </w:t>
                            </w:r>
                            <w:r>
                              <w:fldChar w:fldCharType="begin"/>
                            </w:r>
                            <w:r>
                              <w:instrText xml:space="preserve"> SEQ Figure \* ARABIC </w:instrText>
                            </w:r>
                            <w:r>
                              <w:fldChar w:fldCharType="separate"/>
                            </w:r>
                            <w:r w:rsidR="00166527">
                              <w:rPr>
                                <w:noProof/>
                              </w:rPr>
                              <w:t>1</w:t>
                            </w:r>
                            <w:r>
                              <w:fldChar w:fldCharType="end"/>
                            </w:r>
                            <w:bookmarkEnd w:id="1"/>
                            <w:r>
                              <w:t xml:space="preserve">. Pictorial representation of the </w:t>
                            </w:r>
                            <w:r w:rsidR="006C7DF5">
                              <w:t xml:space="preserve">homogeneous </w:t>
                            </w:r>
                            <w:r>
                              <w:t>layout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7E6A1EC" id="_x0000_t202" coordsize="21600,21600" o:spt="202" path="m,l,21600r21600,l21600,xe">
                <v:stroke joinstyle="miter"/>
                <v:path gradientshapeok="t" o:connecttype="rect"/>
              </v:shapetype>
              <v:shape id="Text Box 1" o:spid="_x0000_s1026" type="#_x0000_t202" style="position:absolute;left:0;text-align:left;margin-left:17.7pt;margin-top:268.2pt;width:446.1pt;height:.0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" stroked="f">
                <v:textbox style="mso-fit-shape-to-text:t" inset="0,0,0,0">
                  <w:txbxContent>
                    <w:p w14:paraId="6D04AAEF" w14:textId="58C8ABE3" w:rsidR="00210A39" w:rsidRPr="00F31B58" w:rsidRDefault="00210A39" w:rsidP="00210A39">
                      <w:pPr>
                        <w:pStyle w:val="Caption"/>
                        <w:jc w:val="center"/>
                      </w:pPr>
                      <w:bookmarkStart w:id="2" w:name="_Ref15984812"/>
                      <w:r>
                        <w:t xml:space="preserve">Figure </w:t>
                      </w:r>
                      <w:r>
                        <w:fldChar w:fldCharType="begin"/>
                      </w:r>
                      <w:r>
                        <w:instrText xml:space="preserve"> SEQ Figure \* ARABIC </w:instrText>
                      </w:r>
                      <w:r>
                        <w:fldChar w:fldCharType="separate"/>
                      </w:r>
                      <w:r w:rsidR="00166527">
                        <w:rPr>
                          <w:noProof/>
                        </w:rPr>
                        <w:t>1</w:t>
                      </w:r>
                      <w:r>
                        <w:fldChar w:fldCharType="end"/>
                      </w:r>
                      <w:bookmarkEnd w:id="2"/>
                      <w:r>
                        <w:t xml:space="preserve">. Pictorial representation of the </w:t>
                      </w:r>
                      <w:r w:rsidR="006C7DF5">
                        <w:t xml:space="preserve">homogeneous </w:t>
                      </w:r>
                      <w:r>
                        <w:t>layout</w:t>
                      </w:r>
                    </w:p>
                  </w:txbxContent>
                </v:textbox>
                <w10:wrap anchorx="margin"/>
              </v:shape>
            </w:pict>
          </mc:Fallback>
        </mc:AlternateContent>
      </w:r>
      <w:r w:rsidR="0066241D" w:rsidRPr="0066241D">
        <w:rPr>
          <w:noProof/>
        </w:rPr>
        <w:drawing>
          <wp:inline distT="0" distB="0" distL="0" distR="0" wp14:anchorId="7280920A" wp14:editId="68A11A2F">
            <wp:extent cx="3976470" cy="3320980"/>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8963" t="7179" r="8848" b="12330"/>
                    <a:stretch/>
                  </pic:blipFill>
                  <pic:spPr bwMode="auto">
                    <a:xfrm>
                      <a:off x="0" y="0"/>
                      <a:ext cx="3981742" cy="3325383"/>
                    </a:xfrm>
                    <a:prstGeom prst="rect">
                      <a:avLst/>
                    </a:prstGeom>
                    <a:noFill/>
                    <a:ln>
                      <a:noFill/>
                    </a:ln>
                    <a:extLst>
                      <a:ext uri="{53640926-AAD7-44D8-BBD7-CCE9431645EC}">
                        <a14:shadowObscured xmlns:a14="http://schemas.microsoft.com/office/drawing/2010/main"/>
                      </a:ext>
                    </a:extLst>
                  </pic:spPr>
                </pic:pic>
              </a:graphicData>
            </a:graphic>
          </wp:inline>
        </w:drawing>
      </w:r>
    </w:p>
    <w:p w14:paraId="68DE4DF0" w14:textId="5D5C8D23" w:rsidR="0049741B" w:rsidRDefault="0049741B" w:rsidP="001A3A6C"/>
    <w:p w14:paraId="57302FE6" w14:textId="77777777" w:rsidR="001B21BB" w:rsidRDefault="001B21BB" w:rsidP="001A3A6C"/>
    <w:p w14:paraId="162AEC94" w14:textId="70E18DD9" w:rsidR="003D3BE5" w:rsidRDefault="003D3BE5" w:rsidP="001A3A6C">
      <w:r>
        <w:t>In this contribution we</w:t>
      </w:r>
      <w:r w:rsidR="00D5204D">
        <w:t xml:space="preserve"> focused our analysis on the adjacent channel specification for the IAB MT by</w:t>
      </w:r>
      <w:r>
        <w:t xml:space="preserve"> consider</w:t>
      </w:r>
      <w:r w:rsidR="00D5204D">
        <w:t>ing</w:t>
      </w:r>
      <w:r>
        <w:t xml:space="preserve"> the NR network </w:t>
      </w:r>
      <w:r w:rsidR="00D5204D">
        <w:t>as</w:t>
      </w:r>
      <w:r>
        <w:t xml:space="preserve"> the victim network </w:t>
      </w:r>
      <w:r w:rsidR="00D5204D">
        <w:t>in case of</w:t>
      </w:r>
      <w:r>
        <w:t xml:space="preserve"> UL operation </w:t>
      </w:r>
      <w:r w:rsidR="00D5204D">
        <w:t>and</w:t>
      </w:r>
      <w:r>
        <w:t xml:space="preserve"> the IAB network </w:t>
      </w:r>
      <w:r w:rsidR="00D5204D">
        <w:t>as</w:t>
      </w:r>
      <w:r>
        <w:t xml:space="preserve"> the victim </w:t>
      </w:r>
      <w:r w:rsidR="00D5204D">
        <w:t xml:space="preserve">network </w:t>
      </w:r>
      <w:r>
        <w:t>in case of DL operation.</w:t>
      </w:r>
      <w:r w:rsidR="00D5204D">
        <w:t xml:space="preserve"> However, since IAB DU</w:t>
      </w:r>
      <w:r w:rsidR="006D2C3C">
        <w:t>s</w:t>
      </w:r>
      <w:r w:rsidR="00D5204D">
        <w:t xml:space="preserve"> </w:t>
      </w:r>
      <w:r w:rsidR="007B4288">
        <w:t>are tasked</w:t>
      </w:r>
      <w:r w:rsidR="00D5204D">
        <w:t xml:space="preserve"> to provide connection to access UEs, their adjacent channel specifications </w:t>
      </w:r>
      <w:r w:rsidR="00F02541">
        <w:t>cannot</w:t>
      </w:r>
      <w:r w:rsidR="00D5204D">
        <w:t xml:space="preserve"> be looser than Rel-15 BS ACLR/ACS specification.</w:t>
      </w:r>
    </w:p>
    <w:p w14:paraId="38D174C9" w14:textId="25864D69" w:rsidR="00F02541" w:rsidRDefault="00F02541" w:rsidP="001A3A6C">
      <w:r w:rsidRPr="00F02541">
        <w:rPr>
          <w:b/>
          <w:bCs/>
        </w:rPr>
        <w:t>Observation 1: IAB</w:t>
      </w:r>
      <w:r w:rsidRPr="00EF2A9D">
        <w:rPr>
          <w:b/>
          <w:bCs/>
        </w:rPr>
        <w:t xml:space="preserve"> DU adjacent channel specifications </w:t>
      </w:r>
      <w:r>
        <w:rPr>
          <w:b/>
          <w:bCs/>
        </w:rPr>
        <w:t>ca</w:t>
      </w:r>
      <w:r w:rsidR="00F91CB1">
        <w:rPr>
          <w:b/>
          <w:bCs/>
        </w:rPr>
        <w:t>n</w:t>
      </w:r>
      <w:r w:rsidRPr="00EF2A9D">
        <w:rPr>
          <w:b/>
          <w:bCs/>
        </w:rPr>
        <w:t xml:space="preserve">not </w:t>
      </w:r>
      <w:r>
        <w:rPr>
          <w:b/>
          <w:bCs/>
        </w:rPr>
        <w:t>be looser than</w:t>
      </w:r>
      <w:r w:rsidRPr="00EF2A9D">
        <w:rPr>
          <w:b/>
          <w:bCs/>
        </w:rPr>
        <w:t xml:space="preserve"> Rel-15 BS</w:t>
      </w:r>
      <w:r w:rsidR="004C5D71">
        <w:rPr>
          <w:b/>
          <w:bCs/>
        </w:rPr>
        <w:t xml:space="preserve"> ACLR/ACS</w:t>
      </w:r>
      <w:r w:rsidRPr="00EF2A9D">
        <w:rPr>
          <w:b/>
          <w:bCs/>
        </w:rPr>
        <w:t xml:space="preserve"> specifications</w:t>
      </w:r>
    </w:p>
    <w:p w14:paraId="093342A5" w14:textId="0BEB0648" w:rsidR="0049741B" w:rsidRDefault="00E443EA" w:rsidP="001A3A6C">
      <w:r>
        <w:t>The</w:t>
      </w:r>
      <w:r w:rsidR="00E92B98">
        <w:t xml:space="preserve"> major simulation assumptions we adopted for the analysis</w:t>
      </w:r>
      <w:r>
        <w:t xml:space="preserve"> are summarized in the following:</w:t>
      </w:r>
    </w:p>
    <w:p w14:paraId="09291BBF" w14:textId="5CFBE04B" w:rsidR="00E92B98" w:rsidRDefault="00E92B98" w:rsidP="00E92B98">
      <w:pPr>
        <w:pStyle w:val="ListParagraph"/>
        <w:numPr>
          <w:ilvl w:val="0"/>
          <w:numId w:val="19"/>
        </w:numPr>
      </w:pPr>
      <w:r>
        <w:t>UL PC settings:</w:t>
      </w:r>
    </w:p>
    <w:p w14:paraId="45D87E47" w14:textId="7CFCA011" w:rsidR="00E92B98" w:rsidRDefault="00E92B98" w:rsidP="00E92B98">
      <w:pPr>
        <w:pStyle w:val="ListParagraph"/>
        <w:numPr>
          <w:ilvl w:val="1"/>
          <w:numId w:val="19"/>
        </w:numPr>
      </w:pPr>
      <w:r>
        <w:t>PC_max: 33dBm</w:t>
      </w:r>
    </w:p>
    <w:p w14:paraId="029594A2" w14:textId="7BC88983" w:rsidR="00E92B98" w:rsidRDefault="00E92B98" w:rsidP="00E92B98">
      <w:pPr>
        <w:pStyle w:val="ListParagraph"/>
        <w:numPr>
          <w:ilvl w:val="1"/>
          <w:numId w:val="19"/>
        </w:numPr>
      </w:pPr>
      <w:r>
        <w:t>UL SNR target: 22dB</w:t>
      </w:r>
    </w:p>
    <w:p w14:paraId="445BB649" w14:textId="77777777" w:rsidR="00EE180E" w:rsidRDefault="00EE180E" w:rsidP="00EE180E">
      <w:pPr>
        <w:pStyle w:val="ListParagraph"/>
        <w:numPr>
          <w:ilvl w:val="0"/>
          <w:numId w:val="19"/>
        </w:numPr>
      </w:pPr>
      <w:r>
        <w:t>DL power settings:</w:t>
      </w:r>
    </w:p>
    <w:p w14:paraId="0D6CD734" w14:textId="77777777" w:rsidR="00EE180E" w:rsidRDefault="00EE180E" w:rsidP="00EE180E">
      <w:pPr>
        <w:pStyle w:val="ListParagraph"/>
        <w:numPr>
          <w:ilvl w:val="1"/>
          <w:numId w:val="19"/>
        </w:numPr>
      </w:pPr>
      <w:r>
        <w:t>Transmitted power: 33dBm (no power control)</w:t>
      </w:r>
    </w:p>
    <w:p w14:paraId="57507314" w14:textId="030475A3" w:rsidR="00EE180E" w:rsidRDefault="00EE180E" w:rsidP="00EE180E">
      <w:pPr>
        <w:pStyle w:val="ListParagraph"/>
        <w:numPr>
          <w:ilvl w:val="1"/>
          <w:numId w:val="19"/>
        </w:numPr>
      </w:pPr>
      <w:r>
        <w:t>DL max SNR: 30dB</w:t>
      </w:r>
    </w:p>
    <w:p w14:paraId="3CCBC7AF" w14:textId="26E836BC" w:rsidR="00E92B98" w:rsidRDefault="00E92B98" w:rsidP="00E92B98">
      <w:pPr>
        <w:pStyle w:val="ListParagraph"/>
        <w:numPr>
          <w:ilvl w:val="0"/>
          <w:numId w:val="19"/>
        </w:numPr>
      </w:pPr>
      <w:r>
        <w:t xml:space="preserve">IAB child node antenna orientation: </w:t>
      </w:r>
      <w:r w:rsidR="00F637AE">
        <w:t>based on planned macro layout</w:t>
      </w:r>
    </w:p>
    <w:p w14:paraId="358888B7" w14:textId="48D4BCD3" w:rsidR="002C4F4B" w:rsidRDefault="002C4F4B" w:rsidP="00E92B98">
      <w:pPr>
        <w:pStyle w:val="ListParagraph"/>
        <w:numPr>
          <w:ilvl w:val="0"/>
          <w:numId w:val="19"/>
        </w:numPr>
      </w:pPr>
      <w:r>
        <w:t>NR BS antenna height: 25m</w:t>
      </w:r>
    </w:p>
    <w:p w14:paraId="245CB3A2" w14:textId="7FD0D827" w:rsidR="002C4F4B" w:rsidRDefault="002C4F4B" w:rsidP="00E92B98">
      <w:pPr>
        <w:pStyle w:val="ListParagraph"/>
        <w:numPr>
          <w:ilvl w:val="0"/>
          <w:numId w:val="19"/>
        </w:numPr>
      </w:pPr>
      <w:r>
        <w:t>IAB node antenna height: 25m</w:t>
      </w:r>
    </w:p>
    <w:p w14:paraId="6F501551" w14:textId="77777777" w:rsidR="00D03A29" w:rsidRDefault="00E92B98" w:rsidP="00E92B98">
      <w:pPr>
        <w:pStyle w:val="ListParagraph"/>
        <w:numPr>
          <w:ilvl w:val="0"/>
          <w:numId w:val="19"/>
        </w:numPr>
      </w:pPr>
      <w:r>
        <w:t xml:space="preserve">Pathloss model: </w:t>
      </w:r>
    </w:p>
    <w:p w14:paraId="7787E196" w14:textId="24586679" w:rsidR="00E92B98" w:rsidRDefault="00664596" w:rsidP="00664596">
      <w:pPr>
        <w:pStyle w:val="ListParagraph"/>
        <w:numPr>
          <w:ilvl w:val="1"/>
          <w:numId w:val="19"/>
        </w:numPr>
      </w:pPr>
      <w:r w:rsidRPr="00664596">
        <w:t>Free space</w:t>
      </w:r>
      <w:r>
        <w:t xml:space="preserve"> </w:t>
      </w:r>
      <w:r w:rsidR="00E92B98">
        <w:t xml:space="preserve">pathloss </w:t>
      </w:r>
      <w:r>
        <w:t xml:space="preserve">model </w:t>
      </w:r>
      <w:r w:rsidR="00E92B98">
        <w:t>between IAB node and associated serving IAB donor node</w:t>
      </w:r>
      <w:r>
        <w:t xml:space="preserve"> and for cross-links (NR</w:t>
      </w:r>
      <w:r w:rsidR="007E6F9B">
        <w:t xml:space="preserve"> – </w:t>
      </w:r>
      <w:r>
        <w:t>IAB)</w:t>
      </w:r>
    </w:p>
    <w:p w14:paraId="4B272A56" w14:textId="7C4F09FA" w:rsidR="00130F5A" w:rsidRDefault="00130F5A" w:rsidP="00130F5A">
      <w:pPr>
        <w:pStyle w:val="ListParagraph"/>
        <w:numPr>
          <w:ilvl w:val="0"/>
          <w:numId w:val="19"/>
        </w:numPr>
      </w:pPr>
      <w:r>
        <w:t>Frequency range: FR2 (30GHz carrier frequency)</w:t>
      </w:r>
    </w:p>
    <w:p w14:paraId="7F3EA551" w14:textId="0D0BDE49" w:rsidR="00130F5A" w:rsidRDefault="00130F5A" w:rsidP="00130F5A">
      <w:pPr>
        <w:pStyle w:val="ListParagraph"/>
        <w:numPr>
          <w:ilvl w:val="0"/>
          <w:numId w:val="19"/>
        </w:numPr>
      </w:pPr>
      <w:r>
        <w:t>Channel bandwidth: 200MHz</w:t>
      </w:r>
    </w:p>
    <w:p w14:paraId="1B5B40DC" w14:textId="32F32373" w:rsidR="00130F5A" w:rsidRDefault="00130F5A" w:rsidP="00130F5A">
      <w:pPr>
        <w:pStyle w:val="ListParagraph"/>
        <w:numPr>
          <w:ilvl w:val="0"/>
          <w:numId w:val="19"/>
        </w:numPr>
      </w:pPr>
      <w:r>
        <w:t>NR BS adjacent channel specification:</w:t>
      </w:r>
    </w:p>
    <w:p w14:paraId="34A3B5C4" w14:textId="40442B4E" w:rsidR="00130F5A" w:rsidRDefault="00130F5A" w:rsidP="00130F5A">
      <w:pPr>
        <w:pStyle w:val="ListParagraph"/>
        <w:numPr>
          <w:ilvl w:val="1"/>
          <w:numId w:val="19"/>
        </w:numPr>
      </w:pPr>
      <w:r>
        <w:t>ACS: 24dB (Rel-15 spec.)</w:t>
      </w:r>
    </w:p>
    <w:p w14:paraId="0A87A177" w14:textId="772EA8AA" w:rsidR="00130F5A" w:rsidRDefault="00130F5A" w:rsidP="00130F5A">
      <w:pPr>
        <w:pStyle w:val="ListParagraph"/>
        <w:numPr>
          <w:ilvl w:val="1"/>
          <w:numId w:val="19"/>
        </w:numPr>
      </w:pPr>
      <w:r>
        <w:t>ACLR: 28dB (Rel-15 spec.)</w:t>
      </w:r>
    </w:p>
    <w:p w14:paraId="3F2ADFEF" w14:textId="468CF67B" w:rsidR="00130F5A" w:rsidRDefault="00130F5A" w:rsidP="00130F5A">
      <w:pPr>
        <w:pStyle w:val="ListParagraph"/>
        <w:numPr>
          <w:ilvl w:val="0"/>
          <w:numId w:val="19"/>
        </w:numPr>
      </w:pPr>
      <w:r>
        <w:t>IAB MT adjacent channel specification:</w:t>
      </w:r>
    </w:p>
    <w:p w14:paraId="28D8AAB8" w14:textId="7AF23680" w:rsidR="00130F5A" w:rsidRDefault="00130F5A" w:rsidP="00130F5A">
      <w:pPr>
        <w:pStyle w:val="ListParagraph"/>
        <w:numPr>
          <w:ilvl w:val="1"/>
          <w:numId w:val="19"/>
        </w:numPr>
      </w:pPr>
      <w:r>
        <w:t>ACS: 23dB (UE Rel-15 spec.)</w:t>
      </w:r>
    </w:p>
    <w:p w14:paraId="3921BAB8" w14:textId="2E5B2BEE" w:rsidR="00130F5A" w:rsidRDefault="00130F5A" w:rsidP="00130F5A">
      <w:pPr>
        <w:pStyle w:val="ListParagraph"/>
        <w:numPr>
          <w:ilvl w:val="1"/>
          <w:numId w:val="19"/>
        </w:numPr>
      </w:pPr>
      <w:r>
        <w:t>ACLR: 17dB (UE Rel-15 spec.)</w:t>
      </w:r>
    </w:p>
    <w:p w14:paraId="17769A47" w14:textId="3BDFBE8E" w:rsidR="0049741B" w:rsidRDefault="00947655" w:rsidP="001A3A6C">
      <w:r>
        <w:t xml:space="preserve">In the remainder of this contribution, we present system level simulation results showing the impact of adjacent channel interference on single network performance for the UL and DL duplex directions in Section </w:t>
      </w:r>
      <w:r>
        <w:fldChar w:fldCharType="begin"/>
      </w:r>
      <w:r>
        <w:instrText xml:space="preserve"> REF _Ref16497141 \n \h </w:instrText>
      </w:r>
      <w:r>
        <w:fldChar w:fldCharType="separate"/>
      </w:r>
      <w:r>
        <w:t>3</w:t>
      </w:r>
      <w:r>
        <w:fldChar w:fldCharType="end"/>
      </w:r>
      <w:r>
        <w:t xml:space="preserve"> and Section </w:t>
      </w:r>
      <w:r>
        <w:fldChar w:fldCharType="begin"/>
      </w:r>
      <w:r>
        <w:instrText xml:space="preserve"> REF _Ref16497150 \n \h </w:instrText>
      </w:r>
      <w:r>
        <w:fldChar w:fldCharType="separate"/>
      </w:r>
      <w:r>
        <w:t>4</w:t>
      </w:r>
      <w:r>
        <w:fldChar w:fldCharType="end"/>
      </w:r>
      <w:r>
        <w:t>, respectively.</w:t>
      </w:r>
    </w:p>
    <w:p w14:paraId="434ED5E8" w14:textId="15608FEF" w:rsidR="009C0295" w:rsidRDefault="00A07A27" w:rsidP="00B42D1D">
      <w:pPr>
        <w:pStyle w:val="Heading1"/>
      </w:pPr>
      <w:r>
        <w:lastRenderedPageBreak/>
        <w:t>UL s</w:t>
      </w:r>
      <w:r w:rsidR="0049741B">
        <w:t>imulation results</w:t>
      </w:r>
      <w:r>
        <w:t xml:space="preserve"> (IAB </w:t>
      </w:r>
      <w:r>
        <w:sym w:font="Wingdings" w:char="F0E0"/>
      </w:r>
      <w:r>
        <w:t xml:space="preserve"> NR)</w:t>
      </w:r>
    </w:p>
    <w:p w14:paraId="5B775C08" w14:textId="6C9018FB" w:rsidR="0006560F" w:rsidRDefault="007532DD" w:rsidP="0006560F">
      <w:r>
        <w:t xml:space="preserve">In this section we present </w:t>
      </w:r>
      <w:r w:rsidR="00336E72">
        <w:t xml:space="preserve">simulation </w:t>
      </w:r>
      <w:r>
        <w:t xml:space="preserve">results </w:t>
      </w:r>
      <w:r w:rsidR="00336E72">
        <w:t>showing</w:t>
      </w:r>
      <w:r>
        <w:t xml:space="preserve"> the impact of IAB </w:t>
      </w:r>
      <w:r w:rsidR="007B4288">
        <w:t xml:space="preserve">MT </w:t>
      </w:r>
      <w:r>
        <w:t xml:space="preserve">UL transmission (from child to parent) to NR UL </w:t>
      </w:r>
      <w:r w:rsidR="00A8595F">
        <w:t>performance</w:t>
      </w:r>
      <w:bookmarkStart w:id="2" w:name="_GoBack"/>
      <w:bookmarkEnd w:id="2"/>
      <w:r>
        <w:t xml:space="preserve">. </w:t>
      </w:r>
      <w:r w:rsidR="0006560F" w:rsidRPr="0006560F">
        <w:fldChar w:fldCharType="begin"/>
      </w:r>
      <w:r w:rsidR="0006560F" w:rsidRPr="0006560F">
        <w:instrText xml:space="preserve"> REF _Ref15994567 \h  \* MERGEFORMAT </w:instrText>
      </w:r>
      <w:r w:rsidR="0006560F" w:rsidRPr="0006560F">
        <w:fldChar w:fldCharType="separate"/>
      </w:r>
      <w:r w:rsidR="0006560F" w:rsidRPr="0006560F">
        <w:t xml:space="preserve">Figure </w:t>
      </w:r>
      <w:r w:rsidR="0006560F" w:rsidRPr="0006560F">
        <w:rPr>
          <w:noProof/>
        </w:rPr>
        <w:t>2</w:t>
      </w:r>
      <w:r w:rsidR="0006560F" w:rsidRPr="0006560F">
        <w:fldChar w:fldCharType="end"/>
      </w:r>
      <w:r w:rsidR="0006560F">
        <w:t xml:space="preserve"> show</w:t>
      </w:r>
      <w:r w:rsidR="004335EC">
        <w:t>s</w:t>
      </w:r>
      <w:r w:rsidR="000B22BE">
        <w:t xml:space="preserve"> the</w:t>
      </w:r>
      <w:r w:rsidR="0006560F">
        <w:t xml:space="preserve"> SINR and relative throughput distributions</w:t>
      </w:r>
      <w:r w:rsidR="00E476D4">
        <w:t xml:space="preserve">. Notice that </w:t>
      </w:r>
      <w:r w:rsidR="00AC0607">
        <w:t>for all percentile points, the</w:t>
      </w:r>
      <w:r w:rsidR="00E476D4">
        <w:t xml:space="preserve"> SINR/throughput ACI degradation</w:t>
      </w:r>
      <w:r w:rsidR="0026318C">
        <w:t xml:space="preserve"> is n</w:t>
      </w:r>
      <w:r w:rsidR="00AC0607">
        <w:t>egligible</w:t>
      </w:r>
      <w:r w:rsidR="00AA3494">
        <w:t xml:space="preserve"> and this is reflected in </w:t>
      </w:r>
      <w:r w:rsidR="00AA3494">
        <w:fldChar w:fldCharType="begin"/>
      </w:r>
      <w:r w:rsidR="00AA3494">
        <w:instrText xml:space="preserve"> REF _Ref16160159 \h </w:instrText>
      </w:r>
      <w:r w:rsidR="00AA3494">
        <w:fldChar w:fldCharType="separate"/>
      </w:r>
      <w:r w:rsidR="00AA3494">
        <w:t xml:space="preserve">Table </w:t>
      </w:r>
      <w:r w:rsidR="00AA3494">
        <w:rPr>
          <w:noProof/>
        </w:rPr>
        <w:t>1</w:t>
      </w:r>
      <w:r w:rsidR="00AA3494">
        <w:fldChar w:fldCharType="end"/>
      </w:r>
      <w:r w:rsidR="00AA3494">
        <w:t xml:space="preserve"> that summarizes the experienced UL throughput loss</w:t>
      </w:r>
      <w:r w:rsidR="00AC0607">
        <w:t>.</w:t>
      </w:r>
      <w:r w:rsidR="00AA3494">
        <w:t xml:space="preserve"> A maximum throughput loss of 0.4% is identified.</w:t>
      </w:r>
      <w:r w:rsidR="00AC0607">
        <w:t xml:space="preserve"> </w:t>
      </w:r>
      <w:r w:rsidR="00C057C3">
        <w:t xml:space="preserve">This behaviour can be justified by considering that not all IAB links are active at the same time due to </w:t>
      </w:r>
      <w:r w:rsidR="00EA10D8">
        <w:t>link activation conditions</w:t>
      </w:r>
      <w:r w:rsidR="001B6106">
        <w:t>, together with the effectiveness of UL power control and directive beamforming.</w:t>
      </w:r>
    </w:p>
    <w:p w14:paraId="31378937" w14:textId="38D638F5" w:rsidR="0026318C" w:rsidRPr="0026318C" w:rsidRDefault="0026318C" w:rsidP="0074742F">
      <w:pPr>
        <w:rPr>
          <w:b/>
          <w:bCs/>
          <w:lang w:val="en-US" w:eastAsia="ja-JP"/>
        </w:rPr>
      </w:pPr>
      <w:r w:rsidRPr="008839E2">
        <w:rPr>
          <w:b/>
          <w:bCs/>
          <w:lang w:val="en-US" w:eastAsia="ja-JP"/>
        </w:rPr>
        <w:t>Observation</w:t>
      </w:r>
      <w:r>
        <w:rPr>
          <w:b/>
          <w:bCs/>
          <w:lang w:val="en-US" w:eastAsia="ja-JP"/>
        </w:rPr>
        <w:t xml:space="preserve"> </w:t>
      </w:r>
      <w:r w:rsidR="002F64A1">
        <w:rPr>
          <w:b/>
          <w:bCs/>
          <w:lang w:val="en-US" w:eastAsia="ja-JP"/>
        </w:rPr>
        <w:t>2</w:t>
      </w:r>
      <w:r w:rsidRPr="008839E2">
        <w:rPr>
          <w:b/>
          <w:bCs/>
          <w:lang w:val="en-US" w:eastAsia="ja-JP"/>
        </w:rPr>
        <w:t>:</w:t>
      </w:r>
      <w:r>
        <w:rPr>
          <w:b/>
          <w:bCs/>
          <w:lang w:val="en-US" w:eastAsia="ja-JP"/>
        </w:rPr>
        <w:t xml:space="preserve"> </w:t>
      </w:r>
      <w:r w:rsidR="008926D8">
        <w:rPr>
          <w:b/>
          <w:bCs/>
          <w:lang w:val="en-US" w:eastAsia="ja-JP"/>
        </w:rPr>
        <w:t>Preliminary simulation results show that in the homogeneous scenario</w:t>
      </w:r>
      <w:r w:rsidR="00D4791B">
        <w:rPr>
          <w:b/>
          <w:bCs/>
          <w:lang w:val="en-US" w:eastAsia="ja-JP"/>
        </w:rPr>
        <w:t xml:space="preserve"> the impact</w:t>
      </w:r>
      <w:r w:rsidR="000B1B3B">
        <w:rPr>
          <w:b/>
          <w:bCs/>
          <w:lang w:val="en-US" w:eastAsia="ja-JP"/>
        </w:rPr>
        <w:t xml:space="preserve"> of</w:t>
      </w:r>
      <w:r w:rsidR="008926D8">
        <w:rPr>
          <w:b/>
          <w:bCs/>
          <w:lang w:val="en-US" w:eastAsia="ja-JP"/>
        </w:rPr>
        <w:t xml:space="preserve"> </w:t>
      </w:r>
      <w:r>
        <w:rPr>
          <w:b/>
          <w:bCs/>
          <w:lang w:val="en-US" w:eastAsia="ja-JP"/>
        </w:rPr>
        <w:t xml:space="preserve">IAB </w:t>
      </w:r>
      <w:r w:rsidR="00AB799F">
        <w:rPr>
          <w:b/>
          <w:bCs/>
          <w:lang w:val="en-US" w:eastAsia="ja-JP"/>
        </w:rPr>
        <w:t xml:space="preserve">MT </w:t>
      </w:r>
      <w:r>
        <w:rPr>
          <w:b/>
          <w:bCs/>
          <w:lang w:val="en-US" w:eastAsia="ja-JP"/>
        </w:rPr>
        <w:t>UL</w:t>
      </w:r>
      <w:r w:rsidR="0097602B">
        <w:rPr>
          <w:b/>
          <w:bCs/>
          <w:lang w:val="en-US" w:eastAsia="ja-JP"/>
        </w:rPr>
        <w:t xml:space="preserve"> adjacent channel</w:t>
      </w:r>
      <w:r>
        <w:rPr>
          <w:b/>
          <w:bCs/>
          <w:lang w:val="en-US" w:eastAsia="ja-JP"/>
        </w:rPr>
        <w:t xml:space="preserve"> interference</w:t>
      </w:r>
      <w:r w:rsidR="00D4791B">
        <w:rPr>
          <w:b/>
          <w:bCs/>
          <w:lang w:val="en-US" w:eastAsia="ja-JP"/>
        </w:rPr>
        <w:t xml:space="preserve"> to </w:t>
      </w:r>
      <w:r w:rsidR="007D5E9B">
        <w:rPr>
          <w:b/>
          <w:bCs/>
          <w:lang w:val="en-US" w:eastAsia="ja-JP"/>
        </w:rPr>
        <w:t xml:space="preserve">NR </w:t>
      </w:r>
      <w:r w:rsidR="00D4791B">
        <w:rPr>
          <w:b/>
          <w:bCs/>
          <w:lang w:val="en-US" w:eastAsia="ja-JP"/>
        </w:rPr>
        <w:t>network performance</w:t>
      </w:r>
      <w:r w:rsidR="008926D8">
        <w:rPr>
          <w:b/>
          <w:bCs/>
          <w:lang w:val="en-US" w:eastAsia="ja-JP"/>
        </w:rPr>
        <w:t xml:space="preserve"> </w:t>
      </w:r>
      <w:r>
        <w:rPr>
          <w:b/>
          <w:bCs/>
          <w:lang w:val="en-US" w:eastAsia="ja-JP"/>
        </w:rPr>
        <w:t xml:space="preserve">is </w:t>
      </w:r>
      <w:r w:rsidR="0097602B">
        <w:rPr>
          <w:b/>
          <w:bCs/>
          <w:lang w:val="en-US" w:eastAsia="ja-JP"/>
        </w:rPr>
        <w:t>negligible</w:t>
      </w:r>
      <w:r>
        <w:rPr>
          <w:b/>
          <w:bCs/>
          <w:lang w:val="en-US" w:eastAsia="ja-JP"/>
        </w:rPr>
        <w:t xml:space="preserve"> when considering 17dB ACLR</w:t>
      </w:r>
      <w:r w:rsidR="0074742F" w:rsidRPr="0074742F">
        <w:rPr>
          <w:b/>
          <w:lang w:val="en-US"/>
        </w:rPr>
        <w:t xml:space="preserve"> </w:t>
      </w:r>
      <w:r w:rsidR="0074742F">
        <w:rPr>
          <w:b/>
          <w:lang w:val="en-US"/>
        </w:rPr>
        <w:t>for the IAB MT</w:t>
      </w:r>
    </w:p>
    <w:p w14:paraId="20F14079" w14:textId="755F5641" w:rsidR="0006560F" w:rsidRDefault="00AC0607" w:rsidP="0006560F">
      <w:pPr>
        <w:pStyle w:val="B2"/>
        <w:keepNext/>
        <w:ind w:left="0" w:firstLine="0"/>
      </w:pPr>
      <w:r w:rsidRPr="00AC0607">
        <w:rPr>
          <w:noProof/>
        </w:rPr>
        <w:drawing>
          <wp:inline distT="0" distB="0" distL="0" distR="0" wp14:anchorId="7F8C80D0" wp14:editId="6F98443D">
            <wp:extent cx="2818130" cy="2110825"/>
            <wp:effectExtent l="0" t="0" r="127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3440" cy="2114802"/>
                    </a:xfrm>
                    <a:prstGeom prst="rect">
                      <a:avLst/>
                    </a:prstGeom>
                    <a:noFill/>
                    <a:ln>
                      <a:noFill/>
                    </a:ln>
                  </pic:spPr>
                </pic:pic>
              </a:graphicData>
            </a:graphic>
          </wp:inline>
        </w:drawing>
      </w:r>
      <w:r w:rsidRPr="00AC0607">
        <w:t xml:space="preserve"> </w:t>
      </w:r>
      <w:r w:rsidRPr="00AC0607">
        <w:rPr>
          <w:noProof/>
        </w:rPr>
        <w:drawing>
          <wp:inline distT="0" distB="0" distL="0" distR="0" wp14:anchorId="5A582EB2" wp14:editId="37892805">
            <wp:extent cx="2833051" cy="2122002"/>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719" cy="2159204"/>
                    </a:xfrm>
                    <a:prstGeom prst="rect">
                      <a:avLst/>
                    </a:prstGeom>
                    <a:noFill/>
                    <a:ln>
                      <a:noFill/>
                    </a:ln>
                  </pic:spPr>
                </pic:pic>
              </a:graphicData>
            </a:graphic>
          </wp:inline>
        </w:drawing>
      </w:r>
    </w:p>
    <w:p w14:paraId="7A2A7266" w14:textId="0BAFD18A" w:rsidR="003D7A4C" w:rsidRDefault="0006560F" w:rsidP="00AC0607">
      <w:pPr>
        <w:pStyle w:val="Caption"/>
        <w:jc w:val="center"/>
        <w:rPr>
          <w:noProof/>
          <w:sz w:val="16"/>
          <w:szCs w:val="16"/>
        </w:rPr>
      </w:pPr>
      <w:bookmarkStart w:id="3" w:name="_Ref15994567"/>
      <w:r w:rsidRPr="0006560F">
        <w:rPr>
          <w:sz w:val="16"/>
          <w:szCs w:val="16"/>
        </w:rPr>
        <w:t xml:space="preserve">Figure </w:t>
      </w:r>
      <w:r w:rsidRPr="0006560F">
        <w:rPr>
          <w:sz w:val="16"/>
          <w:szCs w:val="16"/>
        </w:rPr>
        <w:fldChar w:fldCharType="begin"/>
      </w:r>
      <w:r w:rsidRPr="0006560F">
        <w:rPr>
          <w:sz w:val="16"/>
          <w:szCs w:val="16"/>
        </w:rPr>
        <w:instrText xml:space="preserve"> SEQ Figure \* ARABIC </w:instrText>
      </w:r>
      <w:r w:rsidRPr="0006560F">
        <w:rPr>
          <w:sz w:val="16"/>
          <w:szCs w:val="16"/>
        </w:rPr>
        <w:fldChar w:fldCharType="separate"/>
      </w:r>
      <w:r w:rsidR="00166527">
        <w:rPr>
          <w:noProof/>
          <w:sz w:val="16"/>
          <w:szCs w:val="16"/>
        </w:rPr>
        <w:t>2</w:t>
      </w:r>
      <w:r w:rsidRPr="0006560F">
        <w:rPr>
          <w:sz w:val="16"/>
          <w:szCs w:val="16"/>
        </w:rPr>
        <w:fldChar w:fldCharType="end"/>
      </w:r>
      <w:bookmarkEnd w:id="3"/>
      <w:r w:rsidRPr="0006560F">
        <w:rPr>
          <w:sz w:val="16"/>
          <w:szCs w:val="16"/>
        </w:rPr>
        <w:t>. NR UL SINR and Throughput comparison</w:t>
      </w:r>
      <w:r w:rsidRPr="0006560F">
        <w:rPr>
          <w:noProof/>
          <w:sz w:val="16"/>
          <w:szCs w:val="16"/>
        </w:rPr>
        <w:t xml:space="preserve"> w/ and w/o IAB adjacent channel interference</w:t>
      </w:r>
    </w:p>
    <w:p w14:paraId="73064FCE" w14:textId="63A9B350" w:rsidR="00AC0607" w:rsidRDefault="00AC0607" w:rsidP="00AC0607"/>
    <w:p w14:paraId="0CE0BBA4" w14:textId="16499D23" w:rsidR="0060346F" w:rsidRDefault="0060346F" w:rsidP="0060346F">
      <w:pPr>
        <w:pStyle w:val="Caption"/>
        <w:keepNext/>
        <w:jc w:val="center"/>
      </w:pPr>
      <w:bookmarkStart w:id="4" w:name="_Ref16160159"/>
      <w:r>
        <w:t xml:space="preserve">Table </w:t>
      </w:r>
      <w:r>
        <w:fldChar w:fldCharType="begin"/>
      </w:r>
      <w:r>
        <w:instrText xml:space="preserve"> SEQ Table \* ARABIC </w:instrText>
      </w:r>
      <w:r>
        <w:fldChar w:fldCharType="separate"/>
      </w:r>
      <w:r>
        <w:rPr>
          <w:noProof/>
        </w:rPr>
        <w:t>1</w:t>
      </w:r>
      <w:r>
        <w:fldChar w:fldCharType="end"/>
      </w:r>
      <w:bookmarkEnd w:id="4"/>
      <w:r>
        <w:t>. NR UL throughput loss summary</w:t>
      </w:r>
    </w:p>
    <w:tbl>
      <w:tblPr>
        <w:tblStyle w:val="GridTable4-Accent5"/>
        <w:tblW w:w="0" w:type="auto"/>
        <w:jc w:val="center"/>
        <w:tblLook w:val="04A0" w:firstRow="1" w:lastRow="0" w:firstColumn="1" w:lastColumn="0" w:noHBand="0" w:noVBand="1"/>
      </w:tblPr>
      <w:tblGrid>
        <w:gridCol w:w="2405"/>
        <w:gridCol w:w="1418"/>
      </w:tblGrid>
      <w:tr w:rsidR="00730EA2" w14:paraId="660E796F" w14:textId="77777777" w:rsidTr="004510CA">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3823" w:type="dxa"/>
            <w:gridSpan w:val="2"/>
          </w:tcPr>
          <w:p w14:paraId="605989F6" w14:textId="2A807EA4" w:rsidR="00730EA2" w:rsidRPr="00B07497" w:rsidRDefault="00730EA2" w:rsidP="004510CA">
            <w:pPr>
              <w:pStyle w:val="B2"/>
              <w:spacing w:after="0"/>
              <w:ind w:left="0" w:firstLine="0"/>
              <w:jc w:val="center"/>
              <w:rPr>
                <w:b w:val="0"/>
                <w:bCs w:val="0"/>
                <w:lang w:val="en-US" w:eastAsia="ja-JP"/>
              </w:rPr>
            </w:pPr>
            <w:r>
              <w:rPr>
                <w:b w:val="0"/>
                <w:bCs w:val="0"/>
                <w:lang w:val="en-US" w:eastAsia="ja-JP"/>
              </w:rPr>
              <w:t>NR Network UL</w:t>
            </w:r>
            <w:r w:rsidRPr="00B07497">
              <w:rPr>
                <w:b w:val="0"/>
                <w:bCs w:val="0"/>
                <w:lang w:val="en-US" w:eastAsia="ja-JP"/>
              </w:rPr>
              <w:t xml:space="preserve"> throughput loss (%)</w:t>
            </w:r>
          </w:p>
        </w:tc>
      </w:tr>
      <w:tr w:rsidR="00730EA2" w14:paraId="07267923" w14:textId="77777777" w:rsidTr="004510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45573B6" w14:textId="77777777" w:rsidR="00730EA2" w:rsidRPr="00DE76BA" w:rsidRDefault="00730EA2" w:rsidP="004510CA">
            <w:pPr>
              <w:pStyle w:val="B2"/>
              <w:spacing w:after="0"/>
              <w:ind w:left="0" w:firstLine="0"/>
              <w:jc w:val="center"/>
              <w:rPr>
                <w:sz w:val="18"/>
                <w:szCs w:val="18"/>
                <w:lang w:val="en-US" w:eastAsia="ja-JP"/>
              </w:rPr>
            </w:pPr>
            <w:r w:rsidRPr="00DE76BA">
              <w:rPr>
                <w:sz w:val="18"/>
                <w:szCs w:val="18"/>
                <w:lang w:val="en-US" w:eastAsia="ja-JP"/>
              </w:rPr>
              <w:t>5%-tile throughput loss</w:t>
            </w:r>
          </w:p>
        </w:tc>
        <w:tc>
          <w:tcPr>
            <w:tcW w:w="1418" w:type="dxa"/>
          </w:tcPr>
          <w:p w14:paraId="6D44E588" w14:textId="2802C8EA" w:rsidR="00730EA2" w:rsidRDefault="00730EA2" w:rsidP="004510CA">
            <w:pPr>
              <w:pStyle w:val="B2"/>
              <w:spacing w:after="0"/>
              <w:ind w:left="0" w:firstLine="0"/>
              <w:jc w:val="center"/>
              <w:cnfStyle w:val="000000100000" w:firstRow="0" w:lastRow="0" w:firstColumn="0" w:lastColumn="0" w:oddVBand="0" w:evenVBand="0" w:oddHBand="1" w:evenHBand="0" w:firstRowFirstColumn="0" w:firstRowLastColumn="0" w:lastRowFirstColumn="0" w:lastRowLastColumn="0"/>
              <w:rPr>
                <w:lang w:val="en-US" w:eastAsia="ja-JP"/>
              </w:rPr>
            </w:pPr>
            <w:r>
              <w:rPr>
                <w:lang w:val="en-US" w:eastAsia="ja-JP"/>
              </w:rPr>
              <w:t>0.</w:t>
            </w:r>
            <w:r w:rsidR="00541E8C">
              <w:rPr>
                <w:lang w:val="en-US" w:eastAsia="ja-JP"/>
              </w:rPr>
              <w:t>4</w:t>
            </w:r>
            <w:r>
              <w:rPr>
                <w:lang w:val="en-US" w:eastAsia="ja-JP"/>
              </w:rPr>
              <w:t>%</w:t>
            </w:r>
          </w:p>
        </w:tc>
      </w:tr>
      <w:tr w:rsidR="00730EA2" w14:paraId="4FF7DD99" w14:textId="77777777" w:rsidTr="004510CA">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6A01E863" w14:textId="77777777" w:rsidR="00730EA2" w:rsidRPr="00DE76BA" w:rsidRDefault="00730EA2" w:rsidP="004510CA">
            <w:pPr>
              <w:pStyle w:val="B2"/>
              <w:spacing w:after="0"/>
              <w:ind w:left="0" w:firstLine="0"/>
              <w:jc w:val="center"/>
              <w:rPr>
                <w:sz w:val="18"/>
                <w:szCs w:val="18"/>
                <w:lang w:val="en-US" w:eastAsia="ja-JP"/>
              </w:rPr>
            </w:pPr>
            <w:r w:rsidRPr="00DE76BA">
              <w:rPr>
                <w:sz w:val="18"/>
                <w:szCs w:val="18"/>
                <w:lang w:val="en-US" w:eastAsia="ja-JP"/>
              </w:rPr>
              <w:t>Average throughput loss</w:t>
            </w:r>
          </w:p>
        </w:tc>
        <w:tc>
          <w:tcPr>
            <w:tcW w:w="1418" w:type="dxa"/>
          </w:tcPr>
          <w:p w14:paraId="663D1267" w14:textId="1B5AC05B" w:rsidR="00730EA2" w:rsidRDefault="00730EA2" w:rsidP="004510CA">
            <w:pPr>
              <w:pStyle w:val="B2"/>
              <w:spacing w:after="0"/>
              <w:ind w:left="0" w:firstLine="0"/>
              <w:jc w:val="cente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0.</w:t>
            </w:r>
            <w:r w:rsidR="00541E8C">
              <w:rPr>
                <w:lang w:val="en-US" w:eastAsia="ja-JP"/>
              </w:rPr>
              <w:t>1</w:t>
            </w:r>
            <w:r>
              <w:rPr>
                <w:lang w:val="en-US" w:eastAsia="ja-JP"/>
              </w:rPr>
              <w:t>%</w:t>
            </w:r>
          </w:p>
        </w:tc>
      </w:tr>
    </w:tbl>
    <w:p w14:paraId="0050E519" w14:textId="3A71AC2D" w:rsidR="00730EA2" w:rsidRDefault="00730EA2" w:rsidP="00AC0607"/>
    <w:p w14:paraId="5950BA98" w14:textId="6A433999" w:rsidR="009353D2" w:rsidRPr="00BC13CF" w:rsidRDefault="001564AE" w:rsidP="000E5256">
      <w:pPr>
        <w:pStyle w:val="Heading1"/>
      </w:pPr>
      <w:bookmarkStart w:id="5" w:name="_Ref4775362"/>
      <w:r>
        <w:t>D</w:t>
      </w:r>
      <w:r w:rsidR="000E5256">
        <w:t xml:space="preserve">L simulation results (NR </w:t>
      </w:r>
      <w:r w:rsidR="000E5256">
        <w:sym w:font="Wingdings" w:char="F0E0"/>
      </w:r>
      <w:r w:rsidR="000E5256">
        <w:t xml:space="preserve"> </w:t>
      </w:r>
      <w:bookmarkEnd w:id="5"/>
      <w:r w:rsidR="000E5256">
        <w:t>IAB)</w:t>
      </w:r>
    </w:p>
    <w:p w14:paraId="2D40B98C" w14:textId="45CD8969" w:rsidR="00882442" w:rsidRDefault="007532DD" w:rsidP="000E5256">
      <w:r w:rsidRPr="007532DD">
        <w:t xml:space="preserve">In this section we analyse the impact of NR network to an IAB </w:t>
      </w:r>
      <w:r w:rsidR="006414CD">
        <w:t>homogeneou</w:t>
      </w:r>
      <w:r w:rsidR="00B82381">
        <w:t>s</w:t>
      </w:r>
      <w:r w:rsidRPr="007532DD">
        <w:t xml:space="preserve"> network operating in DL</w:t>
      </w:r>
      <w:r>
        <w:t>.</w:t>
      </w:r>
      <w:bookmarkStart w:id="6" w:name="_Ref521514866"/>
      <w:r>
        <w:t xml:space="preserve"> The scenario is the same as depicted in </w:t>
      </w:r>
      <w:r>
        <w:fldChar w:fldCharType="begin"/>
      </w:r>
      <w:r>
        <w:instrText xml:space="preserve"> REF _Ref15984812 \h </w:instrText>
      </w:r>
      <w:r>
        <w:fldChar w:fldCharType="separate"/>
      </w:r>
      <w:r>
        <w:t xml:space="preserve">Figure </w:t>
      </w:r>
      <w:r>
        <w:rPr>
          <w:noProof/>
        </w:rPr>
        <w:t>1</w:t>
      </w:r>
      <w:r>
        <w:fldChar w:fldCharType="end"/>
      </w:r>
      <w:r>
        <w:t xml:space="preserve"> </w:t>
      </w:r>
      <w:r w:rsidR="00864238">
        <w:t>but, for this analysis, we consider the NR network operating in DL duplex direction as the aggressor network</w:t>
      </w:r>
      <w:r w:rsidR="00841987">
        <w:t xml:space="preserve"> to IAB </w:t>
      </w:r>
      <w:r w:rsidR="0098330F">
        <w:t>MT</w:t>
      </w:r>
      <w:r w:rsidR="00841987">
        <w:t xml:space="preserve"> DL reception.</w:t>
      </w:r>
      <w:r w:rsidR="006C4255">
        <w:t xml:space="preserve"> We also assumed an IAB DL max SNR of 30dB (the point at which </w:t>
      </w:r>
      <w:r w:rsidR="00166527">
        <w:t>throughput curve saturates) to emulate support of higher order modulation and coding schemes.</w:t>
      </w:r>
      <w:r w:rsidR="00F634B5">
        <w:t xml:space="preserve"> Based on these assumptions, </w:t>
      </w:r>
      <w:r w:rsidR="00F634B5" w:rsidRPr="00F634B5">
        <w:rPr>
          <w:sz w:val="24"/>
          <w:szCs w:val="24"/>
        </w:rPr>
        <w:fldChar w:fldCharType="begin"/>
      </w:r>
      <w:r w:rsidR="00F634B5" w:rsidRPr="00F634B5">
        <w:rPr>
          <w:sz w:val="24"/>
          <w:szCs w:val="24"/>
        </w:rPr>
        <w:instrText xml:space="preserve"> REF _Ref16073431 \h  \* MERGEFORMAT </w:instrText>
      </w:r>
      <w:r w:rsidR="00F634B5" w:rsidRPr="00F634B5">
        <w:rPr>
          <w:sz w:val="24"/>
          <w:szCs w:val="24"/>
        </w:rPr>
      </w:r>
      <w:r w:rsidR="00F634B5" w:rsidRPr="00F634B5">
        <w:rPr>
          <w:sz w:val="24"/>
          <w:szCs w:val="24"/>
        </w:rPr>
        <w:fldChar w:fldCharType="separate"/>
      </w:r>
      <w:r w:rsidR="00F634B5" w:rsidRPr="00F634B5">
        <w:t xml:space="preserve">Figure </w:t>
      </w:r>
      <w:r w:rsidR="00F634B5" w:rsidRPr="00F634B5">
        <w:rPr>
          <w:noProof/>
        </w:rPr>
        <w:t>3</w:t>
      </w:r>
      <w:r w:rsidR="00F634B5" w:rsidRPr="00F634B5">
        <w:rPr>
          <w:sz w:val="24"/>
          <w:szCs w:val="24"/>
        </w:rPr>
        <w:fldChar w:fldCharType="end"/>
      </w:r>
      <w:r w:rsidR="00F634B5" w:rsidRPr="00F634B5">
        <w:t xml:space="preserve"> show</w:t>
      </w:r>
      <w:r w:rsidR="00F634B5">
        <w:t>s the correspond</w:t>
      </w:r>
      <w:r w:rsidR="0076551C">
        <w:t>ing</w:t>
      </w:r>
      <w:r w:rsidR="00F634B5">
        <w:t xml:space="preserve"> </w:t>
      </w:r>
      <w:r w:rsidR="00F634B5" w:rsidRPr="00F634B5">
        <w:t xml:space="preserve">SINR and throughput distributions. Results in Table 1 indicate a cell-edge (5%-tile) throughput loss of </w:t>
      </w:r>
      <w:r w:rsidR="00F634B5">
        <w:t>0</w:t>
      </w:r>
      <w:r w:rsidR="00B31BD8">
        <w:t>.1</w:t>
      </w:r>
      <w:r w:rsidR="00F634B5" w:rsidRPr="00F634B5">
        <w:t xml:space="preserve">%, and average throughput loss of </w:t>
      </w:r>
      <w:r w:rsidR="00F634B5">
        <w:t>0.</w:t>
      </w:r>
      <w:r w:rsidR="001B17C0">
        <w:t>25</w:t>
      </w:r>
      <w:r w:rsidR="00F634B5" w:rsidRPr="00F634B5">
        <w:t>%.</w:t>
      </w:r>
      <w:r w:rsidR="000A3D0A">
        <w:t xml:space="preserve"> </w:t>
      </w:r>
      <w:r w:rsidR="00515748">
        <w:t>Both metrics show a negligible performance degradation of IAB DL operation.</w:t>
      </w:r>
    </w:p>
    <w:p w14:paraId="3EC291EE" w14:textId="24FE7E5A" w:rsidR="00422EC7" w:rsidRPr="00DF506E" w:rsidRDefault="00422EC7" w:rsidP="000E5256">
      <w:pPr>
        <w:rPr>
          <w:b/>
          <w:bCs/>
          <w:lang w:val="en-US" w:eastAsia="ja-JP"/>
        </w:rPr>
      </w:pPr>
      <w:r w:rsidRPr="00274687">
        <w:rPr>
          <w:b/>
          <w:lang w:val="en-US"/>
        </w:rPr>
        <w:t xml:space="preserve">Observation </w:t>
      </w:r>
      <w:r w:rsidR="002F64A1">
        <w:rPr>
          <w:b/>
          <w:lang w:val="en-US"/>
        </w:rPr>
        <w:t>3</w:t>
      </w:r>
      <w:r w:rsidRPr="00274687">
        <w:rPr>
          <w:b/>
          <w:lang w:val="en-US"/>
        </w:rPr>
        <w:t>:</w:t>
      </w:r>
      <w:r w:rsidR="002D43A7" w:rsidRPr="002D43A7">
        <w:rPr>
          <w:b/>
          <w:bCs/>
          <w:lang w:val="en-US" w:eastAsia="ja-JP"/>
        </w:rPr>
        <w:t xml:space="preserve"> </w:t>
      </w:r>
      <w:r w:rsidR="002D43A7">
        <w:rPr>
          <w:b/>
          <w:bCs/>
          <w:lang w:val="en-US" w:eastAsia="ja-JP"/>
        </w:rPr>
        <w:t>Preliminary simulation results show that in the homogeneous scenario</w:t>
      </w:r>
      <w:r w:rsidR="00D4791B">
        <w:rPr>
          <w:b/>
          <w:bCs/>
          <w:lang w:val="en-US" w:eastAsia="ja-JP"/>
        </w:rPr>
        <w:t xml:space="preserve"> the impact of</w:t>
      </w:r>
      <w:r w:rsidR="002D43A7">
        <w:rPr>
          <w:b/>
          <w:bCs/>
          <w:lang w:val="en-US" w:eastAsia="ja-JP"/>
        </w:rPr>
        <w:t xml:space="preserve"> </w:t>
      </w:r>
      <w:r w:rsidR="002D43A7">
        <w:rPr>
          <w:b/>
          <w:lang w:val="en-US"/>
        </w:rPr>
        <w:t xml:space="preserve">NR DL </w:t>
      </w:r>
      <w:r w:rsidR="002D43A7">
        <w:rPr>
          <w:b/>
          <w:bCs/>
          <w:lang w:val="en-US" w:eastAsia="ja-JP"/>
        </w:rPr>
        <w:t>adjacent channel interference</w:t>
      </w:r>
      <w:r w:rsidR="00D4791B">
        <w:rPr>
          <w:b/>
          <w:bCs/>
          <w:lang w:val="en-US" w:eastAsia="ja-JP"/>
        </w:rPr>
        <w:t xml:space="preserve"> to</w:t>
      </w:r>
      <w:r w:rsidR="002A0ACB">
        <w:rPr>
          <w:b/>
          <w:bCs/>
          <w:lang w:val="en-US" w:eastAsia="ja-JP"/>
        </w:rPr>
        <w:t xml:space="preserve"> IAB</w:t>
      </w:r>
      <w:r w:rsidR="00D4791B">
        <w:rPr>
          <w:b/>
          <w:bCs/>
          <w:lang w:val="en-US" w:eastAsia="ja-JP"/>
        </w:rPr>
        <w:t xml:space="preserve"> network performance</w:t>
      </w:r>
      <w:r w:rsidR="002D43A7">
        <w:rPr>
          <w:b/>
          <w:bCs/>
          <w:lang w:val="en-US" w:eastAsia="ja-JP"/>
        </w:rPr>
        <w:t xml:space="preserve"> is negligible when considering </w:t>
      </w:r>
      <w:r w:rsidR="002D43A7">
        <w:rPr>
          <w:b/>
          <w:lang w:val="en-US"/>
        </w:rPr>
        <w:t>23dB ACS for</w:t>
      </w:r>
      <w:r w:rsidR="002D43A7">
        <w:rPr>
          <w:b/>
          <w:lang w:val="en-US"/>
        </w:rPr>
        <w:t xml:space="preserve"> the</w:t>
      </w:r>
      <w:r w:rsidR="002D43A7">
        <w:rPr>
          <w:b/>
          <w:lang w:val="en-US"/>
        </w:rPr>
        <w:t xml:space="preserve"> IAB MT</w:t>
      </w:r>
    </w:p>
    <w:p w14:paraId="740550DE" w14:textId="6EF3C4BA" w:rsidR="00166527" w:rsidRDefault="0048301D" w:rsidP="00166527">
      <w:pPr>
        <w:keepNext/>
      </w:pPr>
      <w:r w:rsidRPr="0048301D">
        <w:rPr>
          <w:noProof/>
        </w:rPr>
        <w:lastRenderedPageBreak/>
        <w:drawing>
          <wp:inline distT="0" distB="0" distL="0" distR="0" wp14:anchorId="5EDA11BB" wp14:editId="44CA6690">
            <wp:extent cx="3001992" cy="225274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9186" cy="2280659"/>
                    </a:xfrm>
                    <a:prstGeom prst="rect">
                      <a:avLst/>
                    </a:prstGeom>
                    <a:noFill/>
                    <a:ln>
                      <a:noFill/>
                    </a:ln>
                  </pic:spPr>
                </pic:pic>
              </a:graphicData>
            </a:graphic>
          </wp:inline>
        </w:drawing>
      </w:r>
      <w:r w:rsidR="004D096E" w:rsidRPr="004D096E">
        <w:t xml:space="preserve"> </w:t>
      </w:r>
      <w:r w:rsidRPr="0048301D">
        <w:rPr>
          <w:noProof/>
        </w:rPr>
        <w:drawing>
          <wp:inline distT="0" distB="0" distL="0" distR="0" wp14:anchorId="53E8DCD1" wp14:editId="21DBC889">
            <wp:extent cx="3027872" cy="227216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5699" cy="2285546"/>
                    </a:xfrm>
                    <a:prstGeom prst="rect">
                      <a:avLst/>
                    </a:prstGeom>
                    <a:noFill/>
                    <a:ln>
                      <a:noFill/>
                    </a:ln>
                  </pic:spPr>
                </pic:pic>
              </a:graphicData>
            </a:graphic>
          </wp:inline>
        </w:drawing>
      </w:r>
    </w:p>
    <w:p w14:paraId="1E987875" w14:textId="28C461D5" w:rsidR="00DE76BA" w:rsidRPr="0064211A" w:rsidRDefault="00166527" w:rsidP="0064211A">
      <w:pPr>
        <w:pStyle w:val="Caption"/>
        <w:jc w:val="center"/>
        <w:rPr>
          <w:sz w:val="16"/>
          <w:szCs w:val="16"/>
        </w:rPr>
      </w:pPr>
      <w:bookmarkStart w:id="7" w:name="_Ref16073431"/>
      <w:r w:rsidRPr="0027114E">
        <w:rPr>
          <w:sz w:val="16"/>
          <w:szCs w:val="16"/>
        </w:rPr>
        <w:t xml:space="preserve">Figure </w:t>
      </w:r>
      <w:r w:rsidRPr="0027114E">
        <w:rPr>
          <w:sz w:val="16"/>
          <w:szCs w:val="16"/>
        </w:rPr>
        <w:fldChar w:fldCharType="begin"/>
      </w:r>
      <w:r w:rsidRPr="0027114E">
        <w:rPr>
          <w:sz w:val="16"/>
          <w:szCs w:val="16"/>
        </w:rPr>
        <w:instrText xml:space="preserve"> SEQ Figure \* ARABIC </w:instrText>
      </w:r>
      <w:r w:rsidRPr="0027114E">
        <w:rPr>
          <w:sz w:val="16"/>
          <w:szCs w:val="16"/>
        </w:rPr>
        <w:fldChar w:fldCharType="separate"/>
      </w:r>
      <w:r w:rsidRPr="0027114E">
        <w:rPr>
          <w:noProof/>
          <w:sz w:val="16"/>
          <w:szCs w:val="16"/>
        </w:rPr>
        <w:t>3</w:t>
      </w:r>
      <w:r w:rsidRPr="0027114E">
        <w:rPr>
          <w:sz w:val="16"/>
          <w:szCs w:val="16"/>
        </w:rPr>
        <w:fldChar w:fldCharType="end"/>
      </w:r>
      <w:bookmarkEnd w:id="7"/>
      <w:r w:rsidRPr="0027114E">
        <w:rPr>
          <w:sz w:val="16"/>
          <w:szCs w:val="16"/>
        </w:rPr>
        <w:t>. IAB DL SINR and Throughput comparison w/ and w/o NR adjacent channel interference</w:t>
      </w:r>
    </w:p>
    <w:p w14:paraId="649AF5F6" w14:textId="77777777" w:rsidR="00A62270" w:rsidRDefault="00A62270" w:rsidP="000E5256">
      <w:pPr>
        <w:rPr>
          <w:b/>
          <w:lang w:val="en-US"/>
        </w:rPr>
      </w:pPr>
    </w:p>
    <w:p w14:paraId="58EEF5B3" w14:textId="414BB4D9" w:rsidR="00DE76BA" w:rsidRDefault="00DE76BA" w:rsidP="00F2501B">
      <w:pPr>
        <w:pStyle w:val="Caption"/>
        <w:keepNext/>
        <w:jc w:val="center"/>
      </w:pPr>
      <w:r>
        <w:t xml:space="preserve">Table </w:t>
      </w:r>
      <w:r>
        <w:fldChar w:fldCharType="begin"/>
      </w:r>
      <w:r>
        <w:instrText xml:space="preserve"> SEQ Table \* ARABIC </w:instrText>
      </w:r>
      <w:r>
        <w:fldChar w:fldCharType="separate"/>
      </w:r>
      <w:r w:rsidR="0060346F">
        <w:rPr>
          <w:noProof/>
        </w:rPr>
        <w:t>2</w:t>
      </w:r>
      <w:r>
        <w:fldChar w:fldCharType="end"/>
      </w:r>
      <w:r>
        <w:t>. IAB DL throughput loss summary</w:t>
      </w:r>
    </w:p>
    <w:tbl>
      <w:tblPr>
        <w:tblStyle w:val="GridTable4-Accent5"/>
        <w:tblW w:w="0" w:type="auto"/>
        <w:jc w:val="center"/>
        <w:tblLook w:val="04A0" w:firstRow="1" w:lastRow="0" w:firstColumn="1" w:lastColumn="0" w:noHBand="0" w:noVBand="1"/>
      </w:tblPr>
      <w:tblGrid>
        <w:gridCol w:w="2405"/>
        <w:gridCol w:w="1418"/>
      </w:tblGrid>
      <w:tr w:rsidR="00DE76BA" w14:paraId="1199E636" w14:textId="77777777" w:rsidTr="004510CA">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3823" w:type="dxa"/>
            <w:gridSpan w:val="2"/>
          </w:tcPr>
          <w:p w14:paraId="5A51DD0B" w14:textId="7B05CC58" w:rsidR="00DE76BA" w:rsidRPr="00B07497" w:rsidRDefault="00F2501B" w:rsidP="004510CA">
            <w:pPr>
              <w:pStyle w:val="B2"/>
              <w:spacing w:after="0"/>
              <w:ind w:left="0" w:firstLine="0"/>
              <w:jc w:val="center"/>
              <w:rPr>
                <w:b w:val="0"/>
                <w:bCs w:val="0"/>
                <w:lang w:val="en-US" w:eastAsia="ja-JP"/>
              </w:rPr>
            </w:pPr>
            <w:r>
              <w:rPr>
                <w:b w:val="0"/>
                <w:bCs w:val="0"/>
                <w:lang w:val="en-US" w:eastAsia="ja-JP"/>
              </w:rPr>
              <w:t>IAB</w:t>
            </w:r>
            <w:r w:rsidR="00DE76BA" w:rsidRPr="00B07497">
              <w:rPr>
                <w:b w:val="0"/>
                <w:bCs w:val="0"/>
                <w:lang w:val="en-US" w:eastAsia="ja-JP"/>
              </w:rPr>
              <w:t xml:space="preserve"> Network </w:t>
            </w:r>
            <w:r>
              <w:rPr>
                <w:b w:val="0"/>
                <w:bCs w:val="0"/>
                <w:lang w:val="en-US" w:eastAsia="ja-JP"/>
              </w:rPr>
              <w:t>D</w:t>
            </w:r>
            <w:r w:rsidR="00DE76BA" w:rsidRPr="00B07497">
              <w:rPr>
                <w:b w:val="0"/>
                <w:bCs w:val="0"/>
                <w:lang w:val="en-US" w:eastAsia="ja-JP"/>
              </w:rPr>
              <w:t>L throughput loss (%)</w:t>
            </w:r>
          </w:p>
        </w:tc>
      </w:tr>
      <w:tr w:rsidR="00DE76BA" w14:paraId="70522743" w14:textId="77777777" w:rsidTr="004510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82158B8" w14:textId="77777777" w:rsidR="00DE76BA" w:rsidRPr="00DE76BA" w:rsidRDefault="00DE76BA" w:rsidP="004510CA">
            <w:pPr>
              <w:pStyle w:val="B2"/>
              <w:spacing w:after="0"/>
              <w:ind w:left="0" w:firstLine="0"/>
              <w:jc w:val="center"/>
              <w:rPr>
                <w:sz w:val="18"/>
                <w:szCs w:val="18"/>
                <w:lang w:val="en-US" w:eastAsia="ja-JP"/>
              </w:rPr>
            </w:pPr>
            <w:r w:rsidRPr="00DE76BA">
              <w:rPr>
                <w:sz w:val="18"/>
                <w:szCs w:val="18"/>
                <w:lang w:val="en-US" w:eastAsia="ja-JP"/>
              </w:rPr>
              <w:t>5%-tile throughput loss</w:t>
            </w:r>
          </w:p>
        </w:tc>
        <w:tc>
          <w:tcPr>
            <w:tcW w:w="1418" w:type="dxa"/>
          </w:tcPr>
          <w:p w14:paraId="1255600A" w14:textId="4AC94176" w:rsidR="00DE76BA" w:rsidRDefault="00A62270" w:rsidP="004510CA">
            <w:pPr>
              <w:pStyle w:val="B2"/>
              <w:spacing w:after="0"/>
              <w:ind w:left="0" w:firstLine="0"/>
              <w:jc w:val="center"/>
              <w:cnfStyle w:val="000000100000" w:firstRow="0" w:lastRow="0" w:firstColumn="0" w:lastColumn="0" w:oddVBand="0" w:evenVBand="0" w:oddHBand="1" w:evenHBand="0" w:firstRowFirstColumn="0" w:firstRowLastColumn="0" w:lastRowFirstColumn="0" w:lastRowLastColumn="0"/>
              <w:rPr>
                <w:lang w:val="en-US" w:eastAsia="ja-JP"/>
              </w:rPr>
            </w:pPr>
            <w:r>
              <w:rPr>
                <w:lang w:val="en-US" w:eastAsia="ja-JP"/>
              </w:rPr>
              <w:t>0.1</w:t>
            </w:r>
            <w:r w:rsidR="00DE76BA">
              <w:rPr>
                <w:lang w:val="en-US" w:eastAsia="ja-JP"/>
              </w:rPr>
              <w:t>%</w:t>
            </w:r>
          </w:p>
        </w:tc>
      </w:tr>
      <w:tr w:rsidR="00DE76BA" w14:paraId="6C5866E5" w14:textId="77777777" w:rsidTr="004510CA">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4FCEE4B5" w14:textId="77777777" w:rsidR="00DE76BA" w:rsidRPr="00DE76BA" w:rsidRDefault="00DE76BA" w:rsidP="004510CA">
            <w:pPr>
              <w:pStyle w:val="B2"/>
              <w:spacing w:after="0"/>
              <w:ind w:left="0" w:firstLine="0"/>
              <w:jc w:val="center"/>
              <w:rPr>
                <w:sz w:val="18"/>
                <w:szCs w:val="18"/>
                <w:lang w:val="en-US" w:eastAsia="ja-JP"/>
              </w:rPr>
            </w:pPr>
            <w:r w:rsidRPr="00DE76BA">
              <w:rPr>
                <w:sz w:val="18"/>
                <w:szCs w:val="18"/>
                <w:lang w:val="en-US" w:eastAsia="ja-JP"/>
              </w:rPr>
              <w:t>Average throughput loss</w:t>
            </w:r>
          </w:p>
        </w:tc>
        <w:tc>
          <w:tcPr>
            <w:tcW w:w="1418" w:type="dxa"/>
          </w:tcPr>
          <w:p w14:paraId="4F28D3F6" w14:textId="02E62160" w:rsidR="00DE76BA" w:rsidRDefault="003326E6" w:rsidP="004510CA">
            <w:pPr>
              <w:pStyle w:val="B2"/>
              <w:spacing w:after="0"/>
              <w:ind w:left="0" w:firstLine="0"/>
              <w:jc w:val="cente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0.</w:t>
            </w:r>
            <w:r w:rsidR="00A62270">
              <w:rPr>
                <w:lang w:val="en-US" w:eastAsia="ja-JP"/>
              </w:rPr>
              <w:t>25</w:t>
            </w:r>
            <w:r w:rsidR="00DE76BA">
              <w:rPr>
                <w:lang w:val="en-US" w:eastAsia="ja-JP"/>
              </w:rPr>
              <w:t>%</w:t>
            </w:r>
          </w:p>
        </w:tc>
      </w:tr>
    </w:tbl>
    <w:p w14:paraId="6B37ED7B" w14:textId="5337CBF6" w:rsidR="00166527" w:rsidRDefault="00166527" w:rsidP="000E5256">
      <w:pPr>
        <w:rPr>
          <w:b/>
          <w:lang w:val="en-US"/>
        </w:rPr>
      </w:pPr>
    </w:p>
    <w:bookmarkEnd w:id="6"/>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5DEF9602" w14:textId="1897AA11" w:rsidR="00450426" w:rsidRDefault="00450426" w:rsidP="008003A2">
      <w:pPr>
        <w:rPr>
          <w:lang w:val="en-US"/>
        </w:rPr>
      </w:pPr>
      <w:r>
        <w:rPr>
          <w:lang w:val="en-US"/>
        </w:rPr>
        <w:t>In this contribution we presented a</w:t>
      </w:r>
      <w:r w:rsidR="0087135C">
        <w:rPr>
          <w:lang w:val="en-US"/>
        </w:rPr>
        <w:t xml:space="preserve"> preliminary</w:t>
      </w:r>
      <w:r>
        <w:rPr>
          <w:lang w:val="en-US"/>
        </w:rPr>
        <w:t xml:space="preserve"> analysis of the impact to network performance when an NR network and an IAB network operate in adjacent frequency channels</w:t>
      </w:r>
      <w:r w:rsidR="0087135C">
        <w:rPr>
          <w:lang w:val="en-US"/>
        </w:rPr>
        <w:t xml:space="preserve">, based on the simulation assumptions agreed in </w:t>
      </w:r>
      <w:r w:rsidR="0087135C">
        <w:rPr>
          <w:lang w:val="en-US"/>
        </w:rPr>
        <w:fldChar w:fldCharType="begin"/>
      </w:r>
      <w:r w:rsidR="0087135C">
        <w:rPr>
          <w:lang w:val="en-US"/>
        </w:rPr>
        <w:instrText xml:space="preserve"> REF _Ref15981963 \r \h </w:instrText>
      </w:r>
      <w:r w:rsidR="0087135C">
        <w:rPr>
          <w:lang w:val="en-US"/>
        </w:rPr>
      </w:r>
      <w:r w:rsidR="0087135C">
        <w:rPr>
          <w:lang w:val="en-US"/>
        </w:rPr>
        <w:fldChar w:fldCharType="separate"/>
      </w:r>
      <w:r w:rsidR="0087135C">
        <w:rPr>
          <w:lang w:val="en-US"/>
        </w:rPr>
        <w:t>[4]</w:t>
      </w:r>
      <w:r w:rsidR="0087135C">
        <w:rPr>
          <w:lang w:val="en-US"/>
        </w:rPr>
        <w:fldChar w:fldCharType="end"/>
      </w:r>
      <w:r>
        <w:rPr>
          <w:lang w:val="en-US"/>
        </w:rPr>
        <w:t>.</w:t>
      </w:r>
      <w:r w:rsidR="00A0257F">
        <w:rPr>
          <w:lang w:val="en-US"/>
        </w:rPr>
        <w:t xml:space="preserve"> In particular, we analyzed the degradation of NR UL</w:t>
      </w:r>
      <w:r w:rsidR="00DD5741">
        <w:rPr>
          <w:lang w:val="en-US"/>
        </w:rPr>
        <w:t xml:space="preserve"> (IAB DL)</w:t>
      </w:r>
      <w:r w:rsidR="00A0257F">
        <w:rPr>
          <w:lang w:val="en-US"/>
        </w:rPr>
        <w:t xml:space="preserve"> performance when an IAB network</w:t>
      </w:r>
      <w:r w:rsidR="00DD5741">
        <w:rPr>
          <w:lang w:val="en-US"/>
        </w:rPr>
        <w:t xml:space="preserve"> (NR network)</w:t>
      </w:r>
      <w:r w:rsidR="00A0257F">
        <w:rPr>
          <w:lang w:val="en-US"/>
        </w:rPr>
        <w:t xml:space="preserve"> is</w:t>
      </w:r>
      <w:r w:rsidR="0087135C">
        <w:rPr>
          <w:lang w:val="en-US"/>
        </w:rPr>
        <w:t xml:space="preserve"> </w:t>
      </w:r>
      <w:r w:rsidR="00A0257F">
        <w:rPr>
          <w:lang w:val="en-US"/>
        </w:rPr>
        <w:t>operating UL</w:t>
      </w:r>
      <w:r w:rsidR="00DD5741">
        <w:rPr>
          <w:lang w:val="en-US"/>
        </w:rPr>
        <w:t xml:space="preserve"> (DL)</w:t>
      </w:r>
      <w:r w:rsidR="00A0257F">
        <w:rPr>
          <w:lang w:val="en-US"/>
        </w:rPr>
        <w:t xml:space="preserve"> and is deployed in </w:t>
      </w:r>
      <w:r w:rsidR="00DD5741">
        <w:rPr>
          <w:lang w:val="en-US"/>
        </w:rPr>
        <w:t>a homogeneous fashion.</w:t>
      </w:r>
    </w:p>
    <w:p w14:paraId="1919EFBB" w14:textId="63219336" w:rsidR="00A0257F" w:rsidRDefault="00A0257F" w:rsidP="008003A2">
      <w:pPr>
        <w:rPr>
          <w:lang w:val="en-US"/>
        </w:rPr>
      </w:pPr>
      <w:r>
        <w:rPr>
          <w:lang w:val="en-US"/>
        </w:rPr>
        <w:t>Based on the results</w:t>
      </w:r>
      <w:r w:rsidR="006C0E7B">
        <w:rPr>
          <w:lang w:val="en-US"/>
        </w:rPr>
        <w:t xml:space="preserve"> obtained</w:t>
      </w:r>
      <w:r>
        <w:rPr>
          <w:lang w:val="en-US"/>
        </w:rPr>
        <w:t>, we</w:t>
      </w:r>
      <w:r w:rsidR="006C0E7B">
        <w:rPr>
          <w:lang w:val="en-US"/>
        </w:rPr>
        <w:t xml:space="preserve"> made the following observations:</w:t>
      </w:r>
    </w:p>
    <w:p w14:paraId="40B4DB34" w14:textId="77777777" w:rsidR="009F1809" w:rsidRDefault="009F1809" w:rsidP="009F1809">
      <w:r w:rsidRPr="00F02541">
        <w:rPr>
          <w:b/>
          <w:bCs/>
        </w:rPr>
        <w:t>Observation 1: IAB</w:t>
      </w:r>
      <w:r w:rsidRPr="00EF2A9D">
        <w:rPr>
          <w:b/>
          <w:bCs/>
        </w:rPr>
        <w:t xml:space="preserve"> DU adjacent channel specifications </w:t>
      </w:r>
      <w:r>
        <w:rPr>
          <w:b/>
          <w:bCs/>
        </w:rPr>
        <w:t>can</w:t>
      </w:r>
      <w:r w:rsidRPr="00EF2A9D">
        <w:rPr>
          <w:b/>
          <w:bCs/>
        </w:rPr>
        <w:t xml:space="preserve">not </w:t>
      </w:r>
      <w:r>
        <w:rPr>
          <w:b/>
          <w:bCs/>
        </w:rPr>
        <w:t>be looser than</w:t>
      </w:r>
      <w:r w:rsidRPr="00EF2A9D">
        <w:rPr>
          <w:b/>
          <w:bCs/>
        </w:rPr>
        <w:t xml:space="preserve"> Rel-15 BS</w:t>
      </w:r>
      <w:r>
        <w:rPr>
          <w:b/>
          <w:bCs/>
        </w:rPr>
        <w:t xml:space="preserve"> ACLR/ACS</w:t>
      </w:r>
      <w:r w:rsidRPr="00EF2A9D">
        <w:rPr>
          <w:b/>
          <w:bCs/>
        </w:rPr>
        <w:t xml:space="preserve"> specifications</w:t>
      </w:r>
    </w:p>
    <w:p w14:paraId="3F3349A7" w14:textId="720ADC7D" w:rsidR="007F7AAE" w:rsidRPr="0026318C" w:rsidRDefault="007F7AAE" w:rsidP="0074742F">
      <w:pPr>
        <w:rPr>
          <w:b/>
          <w:bCs/>
          <w:lang w:val="en-US" w:eastAsia="ja-JP"/>
        </w:rPr>
      </w:pPr>
      <w:r w:rsidRPr="008839E2">
        <w:rPr>
          <w:b/>
          <w:bCs/>
          <w:lang w:val="en-US" w:eastAsia="ja-JP"/>
        </w:rPr>
        <w:t>Observation</w:t>
      </w:r>
      <w:r>
        <w:rPr>
          <w:b/>
          <w:bCs/>
          <w:lang w:val="en-US" w:eastAsia="ja-JP"/>
        </w:rPr>
        <w:t xml:space="preserve"> 2</w:t>
      </w:r>
      <w:r w:rsidRPr="008839E2">
        <w:rPr>
          <w:b/>
          <w:bCs/>
          <w:lang w:val="en-US" w:eastAsia="ja-JP"/>
        </w:rPr>
        <w:t>:</w:t>
      </w:r>
      <w:r>
        <w:rPr>
          <w:b/>
          <w:bCs/>
          <w:lang w:val="en-US" w:eastAsia="ja-JP"/>
        </w:rPr>
        <w:t xml:space="preserve"> Preliminary simulation results show that in the homogeneous scenario the impact of IAB MT UL adjacent channel interference to</w:t>
      </w:r>
      <w:r w:rsidR="009B0694">
        <w:rPr>
          <w:b/>
          <w:bCs/>
          <w:lang w:val="en-US" w:eastAsia="ja-JP"/>
        </w:rPr>
        <w:t xml:space="preserve"> NR</w:t>
      </w:r>
      <w:r>
        <w:rPr>
          <w:b/>
          <w:bCs/>
          <w:lang w:val="en-US" w:eastAsia="ja-JP"/>
        </w:rPr>
        <w:t xml:space="preserve"> network performance is negligible when considering 17dB ACLR</w:t>
      </w:r>
      <w:r w:rsidR="0074742F" w:rsidRPr="0074742F">
        <w:rPr>
          <w:b/>
          <w:lang w:val="en-US"/>
        </w:rPr>
        <w:t xml:space="preserve"> </w:t>
      </w:r>
      <w:r w:rsidR="0074742F">
        <w:rPr>
          <w:b/>
          <w:lang w:val="en-US"/>
        </w:rPr>
        <w:t>for the IAB MT</w:t>
      </w:r>
    </w:p>
    <w:p w14:paraId="38958547" w14:textId="4475FB86" w:rsidR="00D3712A" w:rsidRPr="00DF506E" w:rsidRDefault="00D3712A" w:rsidP="00D3712A">
      <w:pPr>
        <w:rPr>
          <w:b/>
          <w:bCs/>
          <w:lang w:val="en-US" w:eastAsia="ja-JP"/>
        </w:rPr>
      </w:pPr>
      <w:r w:rsidRPr="00274687">
        <w:rPr>
          <w:b/>
          <w:lang w:val="en-US"/>
        </w:rPr>
        <w:t xml:space="preserve">Observation </w:t>
      </w:r>
      <w:r>
        <w:rPr>
          <w:b/>
          <w:lang w:val="en-US"/>
        </w:rPr>
        <w:t>3</w:t>
      </w:r>
      <w:r w:rsidRPr="00274687">
        <w:rPr>
          <w:b/>
          <w:lang w:val="en-US"/>
        </w:rPr>
        <w:t>:</w:t>
      </w:r>
      <w:r w:rsidRPr="002D43A7">
        <w:rPr>
          <w:b/>
          <w:bCs/>
          <w:lang w:val="en-US" w:eastAsia="ja-JP"/>
        </w:rPr>
        <w:t xml:space="preserve"> </w:t>
      </w:r>
      <w:r>
        <w:rPr>
          <w:b/>
          <w:bCs/>
          <w:lang w:val="en-US" w:eastAsia="ja-JP"/>
        </w:rPr>
        <w:t xml:space="preserve">Preliminary simulation results show that in the homogeneous scenario the impact of </w:t>
      </w:r>
      <w:r>
        <w:rPr>
          <w:b/>
          <w:lang w:val="en-US"/>
        </w:rPr>
        <w:t xml:space="preserve">NR DL </w:t>
      </w:r>
      <w:r>
        <w:rPr>
          <w:b/>
          <w:bCs/>
          <w:lang w:val="en-US" w:eastAsia="ja-JP"/>
        </w:rPr>
        <w:t>adjacent channel interference to</w:t>
      </w:r>
      <w:r w:rsidR="00A1151F">
        <w:rPr>
          <w:b/>
          <w:bCs/>
          <w:lang w:val="en-US" w:eastAsia="ja-JP"/>
        </w:rPr>
        <w:t xml:space="preserve"> IAB</w:t>
      </w:r>
      <w:r>
        <w:rPr>
          <w:b/>
          <w:bCs/>
          <w:lang w:val="en-US" w:eastAsia="ja-JP"/>
        </w:rPr>
        <w:t xml:space="preserve"> network performance is negligible when considering </w:t>
      </w:r>
      <w:r>
        <w:rPr>
          <w:b/>
          <w:lang w:val="en-US"/>
        </w:rPr>
        <w:t>23dB ACS for the IAB MT</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8" w:name="_Ref4485324"/>
      <w:bookmarkStart w:id="9" w:name="_Ref4573247"/>
      <w:r w:rsidRPr="000C5EDD">
        <w:rPr>
          <w:lang w:val="en-US"/>
        </w:rPr>
        <w:t>RP-18</w:t>
      </w:r>
      <w:bookmarkEnd w:id="8"/>
      <w:r w:rsidR="00AB04EF">
        <w:rPr>
          <w:lang w:val="en-US"/>
        </w:rPr>
        <w:t>2882, “</w:t>
      </w:r>
      <w:r w:rsidR="00AB04EF" w:rsidRPr="00AB04EF">
        <w:rPr>
          <w:lang w:val="en-US"/>
        </w:rPr>
        <w:t>New WID: Integrated Access and Backhaul for NR</w:t>
      </w:r>
      <w:r w:rsidR="00AB04EF">
        <w:rPr>
          <w:lang w:val="en-US"/>
        </w:rPr>
        <w:t>”, Qualcomm Incorporated.</w:t>
      </w:r>
      <w:bookmarkEnd w:id="9"/>
    </w:p>
    <w:p w14:paraId="0DCF129F" w14:textId="6FDCAD1C" w:rsidR="000D41EC" w:rsidRDefault="006E0A18" w:rsidP="006E0A18">
      <w:pPr>
        <w:pStyle w:val="ListParagraph"/>
        <w:numPr>
          <w:ilvl w:val="0"/>
          <w:numId w:val="2"/>
        </w:numPr>
        <w:rPr>
          <w:lang w:val="en-US"/>
        </w:rPr>
      </w:pPr>
      <w:bookmarkStart w:id="10"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0"/>
    </w:p>
    <w:p w14:paraId="7FE9FF3B" w14:textId="5FF9A3F6" w:rsidR="00072F1F" w:rsidRDefault="00072F1F" w:rsidP="006E0A18">
      <w:pPr>
        <w:pStyle w:val="ListParagraph"/>
        <w:numPr>
          <w:ilvl w:val="0"/>
          <w:numId w:val="2"/>
        </w:numPr>
        <w:rPr>
          <w:lang w:val="en-US"/>
        </w:rPr>
      </w:pPr>
      <w:bookmarkStart w:id="11" w:name="_Ref4581330"/>
      <w:r>
        <w:rPr>
          <w:lang w:val="en-US"/>
        </w:rPr>
        <w:t>3GPP TR 38.874, “</w:t>
      </w:r>
      <w:r w:rsidRPr="00072F1F">
        <w:rPr>
          <w:lang w:val="en-US"/>
        </w:rPr>
        <w:t>Study on Integrated Access and Backhaul</w:t>
      </w:r>
      <w:r>
        <w:rPr>
          <w:lang w:val="en-US"/>
        </w:rPr>
        <w:t>”.</w:t>
      </w:r>
      <w:bookmarkEnd w:id="11"/>
    </w:p>
    <w:p w14:paraId="0713F5A1" w14:textId="4A85BF90" w:rsidR="00F8079B" w:rsidRPr="006E0A18" w:rsidRDefault="00F8079B" w:rsidP="006E0A18">
      <w:pPr>
        <w:pStyle w:val="ListParagraph"/>
        <w:numPr>
          <w:ilvl w:val="0"/>
          <w:numId w:val="2"/>
        </w:numPr>
        <w:rPr>
          <w:lang w:val="en-US"/>
        </w:rPr>
      </w:pPr>
      <w:bookmarkStart w:id="12" w:name="_Ref15981963"/>
      <w:r>
        <w:rPr>
          <w:lang w:val="en-US"/>
        </w:rPr>
        <w:t>R4-1907825, “</w:t>
      </w:r>
      <w:r w:rsidRPr="00F8079B">
        <w:rPr>
          <w:lang w:val="en-US"/>
        </w:rPr>
        <w:t>WF on simulation assumptions for IAB co-existence study</w:t>
      </w:r>
      <w:r>
        <w:rPr>
          <w:lang w:val="en-US"/>
        </w:rPr>
        <w:t>”, Qualcomm Incorporated.</w:t>
      </w:r>
      <w:bookmarkEnd w:id="12"/>
    </w:p>
    <w:sectPr w:rsidR="00F8079B" w:rsidRPr="006E0A1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68527" w14:textId="77777777" w:rsidR="006B4969" w:rsidRDefault="006B4969">
      <w:r>
        <w:separator/>
      </w:r>
    </w:p>
  </w:endnote>
  <w:endnote w:type="continuationSeparator" w:id="0">
    <w:p w14:paraId="731107D1" w14:textId="77777777" w:rsidR="006B4969" w:rsidRDefault="006B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21F52" w14:textId="77777777" w:rsidR="006B4969" w:rsidRDefault="006B4969">
      <w:r>
        <w:separator/>
      </w:r>
    </w:p>
  </w:footnote>
  <w:footnote w:type="continuationSeparator" w:id="0">
    <w:p w14:paraId="192179A5" w14:textId="77777777" w:rsidR="006B4969" w:rsidRDefault="006B49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15C"/>
    <w:rsid w:val="0009458D"/>
    <w:rsid w:val="00094AE3"/>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97D"/>
    <w:rsid w:val="000A786A"/>
    <w:rsid w:val="000A79E3"/>
    <w:rsid w:val="000B0B23"/>
    <w:rsid w:val="000B0DF4"/>
    <w:rsid w:val="000B173A"/>
    <w:rsid w:val="000B1B3B"/>
    <w:rsid w:val="000B2044"/>
    <w:rsid w:val="000B2203"/>
    <w:rsid w:val="000B22BE"/>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C15"/>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E0B"/>
    <w:rsid w:val="000F0E22"/>
    <w:rsid w:val="000F1DA5"/>
    <w:rsid w:val="000F3126"/>
    <w:rsid w:val="000F43F3"/>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11"/>
    <w:rsid w:val="00102563"/>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CC"/>
    <w:rsid w:val="00161FE8"/>
    <w:rsid w:val="001624B9"/>
    <w:rsid w:val="00162645"/>
    <w:rsid w:val="00162925"/>
    <w:rsid w:val="00163472"/>
    <w:rsid w:val="00163997"/>
    <w:rsid w:val="00164666"/>
    <w:rsid w:val="00164879"/>
    <w:rsid w:val="0016644D"/>
    <w:rsid w:val="00166527"/>
    <w:rsid w:val="00167913"/>
    <w:rsid w:val="001679C5"/>
    <w:rsid w:val="00170570"/>
    <w:rsid w:val="0017081C"/>
    <w:rsid w:val="00170C0A"/>
    <w:rsid w:val="00171766"/>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7C0"/>
    <w:rsid w:val="001B180F"/>
    <w:rsid w:val="001B2140"/>
    <w:rsid w:val="001B219A"/>
    <w:rsid w:val="001B21BB"/>
    <w:rsid w:val="001B266C"/>
    <w:rsid w:val="001B2837"/>
    <w:rsid w:val="001B2B1E"/>
    <w:rsid w:val="001B2F8C"/>
    <w:rsid w:val="001B3291"/>
    <w:rsid w:val="001B3524"/>
    <w:rsid w:val="001B4DD5"/>
    <w:rsid w:val="001B58A4"/>
    <w:rsid w:val="001B5B8F"/>
    <w:rsid w:val="001B5E69"/>
    <w:rsid w:val="001B6106"/>
    <w:rsid w:val="001B6982"/>
    <w:rsid w:val="001B6B77"/>
    <w:rsid w:val="001C0990"/>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0A59"/>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1DA0"/>
    <w:rsid w:val="002623A5"/>
    <w:rsid w:val="00262492"/>
    <w:rsid w:val="00262CE4"/>
    <w:rsid w:val="0026318C"/>
    <w:rsid w:val="002634CB"/>
    <w:rsid w:val="002635B5"/>
    <w:rsid w:val="00263B56"/>
    <w:rsid w:val="002645F2"/>
    <w:rsid w:val="002647D1"/>
    <w:rsid w:val="00265201"/>
    <w:rsid w:val="00265359"/>
    <w:rsid w:val="002658E7"/>
    <w:rsid w:val="00266622"/>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CD0"/>
    <w:rsid w:val="00294088"/>
    <w:rsid w:val="0029469B"/>
    <w:rsid w:val="00295552"/>
    <w:rsid w:val="00296186"/>
    <w:rsid w:val="00296805"/>
    <w:rsid w:val="00296A4C"/>
    <w:rsid w:val="00296B1B"/>
    <w:rsid w:val="00296B60"/>
    <w:rsid w:val="00296B7E"/>
    <w:rsid w:val="00296C72"/>
    <w:rsid w:val="00296FCC"/>
    <w:rsid w:val="0029758D"/>
    <w:rsid w:val="002976AF"/>
    <w:rsid w:val="002977BD"/>
    <w:rsid w:val="00297836"/>
    <w:rsid w:val="00297D98"/>
    <w:rsid w:val="002A0061"/>
    <w:rsid w:val="002A0409"/>
    <w:rsid w:val="002A0ACB"/>
    <w:rsid w:val="002A0C38"/>
    <w:rsid w:val="002A129F"/>
    <w:rsid w:val="002A1AD8"/>
    <w:rsid w:val="002A23C7"/>
    <w:rsid w:val="002A26EE"/>
    <w:rsid w:val="002A3BFD"/>
    <w:rsid w:val="002A3D10"/>
    <w:rsid w:val="002A4F99"/>
    <w:rsid w:val="002A5A2D"/>
    <w:rsid w:val="002A5D5F"/>
    <w:rsid w:val="002A679B"/>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C034B"/>
    <w:rsid w:val="002C0462"/>
    <w:rsid w:val="002C144A"/>
    <w:rsid w:val="002C1E15"/>
    <w:rsid w:val="002C27CE"/>
    <w:rsid w:val="002C3188"/>
    <w:rsid w:val="002C3C5A"/>
    <w:rsid w:val="002C40ED"/>
    <w:rsid w:val="002C499D"/>
    <w:rsid w:val="002C4E58"/>
    <w:rsid w:val="002C4F4B"/>
    <w:rsid w:val="002C4F68"/>
    <w:rsid w:val="002C5195"/>
    <w:rsid w:val="002C55BD"/>
    <w:rsid w:val="002C71AC"/>
    <w:rsid w:val="002C7B2B"/>
    <w:rsid w:val="002C7C8C"/>
    <w:rsid w:val="002C7CC0"/>
    <w:rsid w:val="002D015C"/>
    <w:rsid w:val="002D087B"/>
    <w:rsid w:val="002D0BCE"/>
    <w:rsid w:val="002D0C99"/>
    <w:rsid w:val="002D1DB1"/>
    <w:rsid w:val="002D2099"/>
    <w:rsid w:val="002D2365"/>
    <w:rsid w:val="002D282D"/>
    <w:rsid w:val="002D3403"/>
    <w:rsid w:val="002D43A7"/>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E6C"/>
    <w:rsid w:val="002E272E"/>
    <w:rsid w:val="002E2BE9"/>
    <w:rsid w:val="002E3236"/>
    <w:rsid w:val="002E3540"/>
    <w:rsid w:val="002E381B"/>
    <w:rsid w:val="002E38E3"/>
    <w:rsid w:val="002E3BD7"/>
    <w:rsid w:val="002E3D15"/>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64A1"/>
    <w:rsid w:val="002F7510"/>
    <w:rsid w:val="002F7536"/>
    <w:rsid w:val="002F7646"/>
    <w:rsid w:val="002F7C04"/>
    <w:rsid w:val="002F7E3E"/>
    <w:rsid w:val="00300433"/>
    <w:rsid w:val="00300A06"/>
    <w:rsid w:val="00301EFA"/>
    <w:rsid w:val="0030211C"/>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9B"/>
    <w:rsid w:val="00314CDE"/>
    <w:rsid w:val="00314DB7"/>
    <w:rsid w:val="00315017"/>
    <w:rsid w:val="0031556F"/>
    <w:rsid w:val="00316A23"/>
    <w:rsid w:val="003200CE"/>
    <w:rsid w:val="0032018A"/>
    <w:rsid w:val="00320881"/>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22"/>
    <w:rsid w:val="00327EF9"/>
    <w:rsid w:val="00327FCD"/>
    <w:rsid w:val="00330243"/>
    <w:rsid w:val="00330CB1"/>
    <w:rsid w:val="00330DE0"/>
    <w:rsid w:val="00330EA3"/>
    <w:rsid w:val="00330F43"/>
    <w:rsid w:val="00331B89"/>
    <w:rsid w:val="00331C73"/>
    <w:rsid w:val="003324CA"/>
    <w:rsid w:val="003326E6"/>
    <w:rsid w:val="003329FA"/>
    <w:rsid w:val="00332DD8"/>
    <w:rsid w:val="00332E3C"/>
    <w:rsid w:val="00333865"/>
    <w:rsid w:val="003348EF"/>
    <w:rsid w:val="003359A3"/>
    <w:rsid w:val="00336389"/>
    <w:rsid w:val="00336E72"/>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AF9"/>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4B42"/>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1A4B"/>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BE5"/>
    <w:rsid w:val="003D3C74"/>
    <w:rsid w:val="003D4A8E"/>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2395"/>
    <w:rsid w:val="00413026"/>
    <w:rsid w:val="00413743"/>
    <w:rsid w:val="00414253"/>
    <w:rsid w:val="004148FF"/>
    <w:rsid w:val="00414BD6"/>
    <w:rsid w:val="00415201"/>
    <w:rsid w:val="0041540E"/>
    <w:rsid w:val="004157A8"/>
    <w:rsid w:val="00416B73"/>
    <w:rsid w:val="00416EE8"/>
    <w:rsid w:val="00417113"/>
    <w:rsid w:val="00417600"/>
    <w:rsid w:val="00417A99"/>
    <w:rsid w:val="00420863"/>
    <w:rsid w:val="00420F3C"/>
    <w:rsid w:val="0042110B"/>
    <w:rsid w:val="0042128B"/>
    <w:rsid w:val="004217D4"/>
    <w:rsid w:val="00422361"/>
    <w:rsid w:val="00422655"/>
    <w:rsid w:val="00422E0A"/>
    <w:rsid w:val="00422EC7"/>
    <w:rsid w:val="0042335E"/>
    <w:rsid w:val="0042352E"/>
    <w:rsid w:val="00423637"/>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5EC"/>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50426"/>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6EA"/>
    <w:rsid w:val="00471B2D"/>
    <w:rsid w:val="00472250"/>
    <w:rsid w:val="004729B1"/>
    <w:rsid w:val="00473355"/>
    <w:rsid w:val="00474729"/>
    <w:rsid w:val="00474DF5"/>
    <w:rsid w:val="00475ACA"/>
    <w:rsid w:val="00476B1E"/>
    <w:rsid w:val="00477349"/>
    <w:rsid w:val="00477AFF"/>
    <w:rsid w:val="004828F1"/>
    <w:rsid w:val="00482B06"/>
    <w:rsid w:val="00482C99"/>
    <w:rsid w:val="0048301D"/>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5D71"/>
    <w:rsid w:val="004C6A32"/>
    <w:rsid w:val="004C6DCA"/>
    <w:rsid w:val="004C72C7"/>
    <w:rsid w:val="004C7862"/>
    <w:rsid w:val="004C7A22"/>
    <w:rsid w:val="004D0378"/>
    <w:rsid w:val="004D071C"/>
    <w:rsid w:val="004D096E"/>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935"/>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0F"/>
    <w:rsid w:val="00511476"/>
    <w:rsid w:val="0051215D"/>
    <w:rsid w:val="00512F02"/>
    <w:rsid w:val="00513DA9"/>
    <w:rsid w:val="0051409A"/>
    <w:rsid w:val="005152FC"/>
    <w:rsid w:val="005156F6"/>
    <w:rsid w:val="00515748"/>
    <w:rsid w:val="00515806"/>
    <w:rsid w:val="00515953"/>
    <w:rsid w:val="005167E8"/>
    <w:rsid w:val="00516FE0"/>
    <w:rsid w:val="00517654"/>
    <w:rsid w:val="00517B05"/>
    <w:rsid w:val="00517CE7"/>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1E8C"/>
    <w:rsid w:val="0054310D"/>
    <w:rsid w:val="00543144"/>
    <w:rsid w:val="00543899"/>
    <w:rsid w:val="00543E5A"/>
    <w:rsid w:val="00544214"/>
    <w:rsid w:val="005443F1"/>
    <w:rsid w:val="00544546"/>
    <w:rsid w:val="00544F7A"/>
    <w:rsid w:val="0054542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669"/>
    <w:rsid w:val="00572AE3"/>
    <w:rsid w:val="0057391B"/>
    <w:rsid w:val="00573A64"/>
    <w:rsid w:val="00574170"/>
    <w:rsid w:val="00574420"/>
    <w:rsid w:val="00575814"/>
    <w:rsid w:val="00575ED0"/>
    <w:rsid w:val="00576B1A"/>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B81"/>
    <w:rsid w:val="00586D95"/>
    <w:rsid w:val="0058737D"/>
    <w:rsid w:val="005873E4"/>
    <w:rsid w:val="005877E7"/>
    <w:rsid w:val="00587877"/>
    <w:rsid w:val="00587F45"/>
    <w:rsid w:val="00590356"/>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04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5F7F03"/>
    <w:rsid w:val="0060086A"/>
    <w:rsid w:val="00600EAD"/>
    <w:rsid w:val="006010B2"/>
    <w:rsid w:val="00602183"/>
    <w:rsid w:val="006021FF"/>
    <w:rsid w:val="00602D90"/>
    <w:rsid w:val="0060309E"/>
    <w:rsid w:val="0060346F"/>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801"/>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4CD"/>
    <w:rsid w:val="006415CF"/>
    <w:rsid w:val="00641F5E"/>
    <w:rsid w:val="0064211A"/>
    <w:rsid w:val="00642989"/>
    <w:rsid w:val="006430E1"/>
    <w:rsid w:val="006435E0"/>
    <w:rsid w:val="00643C51"/>
    <w:rsid w:val="00643CD3"/>
    <w:rsid w:val="006445E9"/>
    <w:rsid w:val="00644C82"/>
    <w:rsid w:val="00644DBE"/>
    <w:rsid w:val="0064505F"/>
    <w:rsid w:val="00645EA5"/>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41D"/>
    <w:rsid w:val="00663B0F"/>
    <w:rsid w:val="00664596"/>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7DA"/>
    <w:rsid w:val="006A6823"/>
    <w:rsid w:val="006B0041"/>
    <w:rsid w:val="006B03AA"/>
    <w:rsid w:val="006B083A"/>
    <w:rsid w:val="006B08DE"/>
    <w:rsid w:val="006B0935"/>
    <w:rsid w:val="006B1642"/>
    <w:rsid w:val="006B1C59"/>
    <w:rsid w:val="006B359E"/>
    <w:rsid w:val="006B391F"/>
    <w:rsid w:val="006B3E16"/>
    <w:rsid w:val="006B4331"/>
    <w:rsid w:val="006B4969"/>
    <w:rsid w:val="006B49F6"/>
    <w:rsid w:val="006B4C5F"/>
    <w:rsid w:val="006B5DD2"/>
    <w:rsid w:val="006B6519"/>
    <w:rsid w:val="006B6D6C"/>
    <w:rsid w:val="006B6DAA"/>
    <w:rsid w:val="006B7132"/>
    <w:rsid w:val="006B7D70"/>
    <w:rsid w:val="006C0A93"/>
    <w:rsid w:val="006C0E7B"/>
    <w:rsid w:val="006C18B7"/>
    <w:rsid w:val="006C19D1"/>
    <w:rsid w:val="006C2C1C"/>
    <w:rsid w:val="006C35B4"/>
    <w:rsid w:val="006C3896"/>
    <w:rsid w:val="006C38E6"/>
    <w:rsid w:val="006C3CA0"/>
    <w:rsid w:val="006C3E1E"/>
    <w:rsid w:val="006C3F36"/>
    <w:rsid w:val="006C4179"/>
    <w:rsid w:val="006C4255"/>
    <w:rsid w:val="006C43D4"/>
    <w:rsid w:val="006C44DF"/>
    <w:rsid w:val="006C51DC"/>
    <w:rsid w:val="006C5527"/>
    <w:rsid w:val="006C55CB"/>
    <w:rsid w:val="006C5A1D"/>
    <w:rsid w:val="006C5A6E"/>
    <w:rsid w:val="006C7168"/>
    <w:rsid w:val="006C757A"/>
    <w:rsid w:val="006C7C5A"/>
    <w:rsid w:val="006C7DF5"/>
    <w:rsid w:val="006C7E1E"/>
    <w:rsid w:val="006D0CF1"/>
    <w:rsid w:val="006D13F6"/>
    <w:rsid w:val="006D143A"/>
    <w:rsid w:val="006D2020"/>
    <w:rsid w:val="006D229E"/>
    <w:rsid w:val="006D2C3C"/>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0AEE"/>
    <w:rsid w:val="006F1410"/>
    <w:rsid w:val="006F1573"/>
    <w:rsid w:val="006F1F48"/>
    <w:rsid w:val="006F2D52"/>
    <w:rsid w:val="006F2D55"/>
    <w:rsid w:val="006F3228"/>
    <w:rsid w:val="006F33F6"/>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2C3"/>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432"/>
    <w:rsid w:val="007215B8"/>
    <w:rsid w:val="0072166E"/>
    <w:rsid w:val="00721679"/>
    <w:rsid w:val="00721D85"/>
    <w:rsid w:val="007225D7"/>
    <w:rsid w:val="00722C50"/>
    <w:rsid w:val="00723562"/>
    <w:rsid w:val="007236F8"/>
    <w:rsid w:val="0072477F"/>
    <w:rsid w:val="0072557C"/>
    <w:rsid w:val="007255B7"/>
    <w:rsid w:val="00726105"/>
    <w:rsid w:val="0072664F"/>
    <w:rsid w:val="00727071"/>
    <w:rsid w:val="00727242"/>
    <w:rsid w:val="00730403"/>
    <w:rsid w:val="00730EA2"/>
    <w:rsid w:val="00730FFC"/>
    <w:rsid w:val="00731468"/>
    <w:rsid w:val="00731BCC"/>
    <w:rsid w:val="00731D02"/>
    <w:rsid w:val="007326A5"/>
    <w:rsid w:val="0073334B"/>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42F"/>
    <w:rsid w:val="007477C9"/>
    <w:rsid w:val="007500E4"/>
    <w:rsid w:val="00751CF0"/>
    <w:rsid w:val="0075278D"/>
    <w:rsid w:val="00752A7D"/>
    <w:rsid w:val="007532D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51C"/>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08"/>
    <w:rsid w:val="0077434B"/>
    <w:rsid w:val="007747B8"/>
    <w:rsid w:val="007754EA"/>
    <w:rsid w:val="00775734"/>
    <w:rsid w:val="00775BED"/>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46F4"/>
    <w:rsid w:val="007850F8"/>
    <w:rsid w:val="00786A8F"/>
    <w:rsid w:val="00787DCB"/>
    <w:rsid w:val="00790FEC"/>
    <w:rsid w:val="00791761"/>
    <w:rsid w:val="00791CC0"/>
    <w:rsid w:val="007933AC"/>
    <w:rsid w:val="00793711"/>
    <w:rsid w:val="00793759"/>
    <w:rsid w:val="007942B9"/>
    <w:rsid w:val="007944A6"/>
    <w:rsid w:val="0079485D"/>
    <w:rsid w:val="00794924"/>
    <w:rsid w:val="007951C7"/>
    <w:rsid w:val="007952CF"/>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27D2"/>
    <w:rsid w:val="007B2EAC"/>
    <w:rsid w:val="007B4288"/>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5E9B"/>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9B"/>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AA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07DC7"/>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472F"/>
    <w:rsid w:val="00824D2A"/>
    <w:rsid w:val="00824DFD"/>
    <w:rsid w:val="00825B8F"/>
    <w:rsid w:val="00825E0F"/>
    <w:rsid w:val="008261E8"/>
    <w:rsid w:val="00826263"/>
    <w:rsid w:val="0082785D"/>
    <w:rsid w:val="00827E37"/>
    <w:rsid w:val="00827F68"/>
    <w:rsid w:val="008310D9"/>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0F24"/>
    <w:rsid w:val="00841439"/>
    <w:rsid w:val="00841619"/>
    <w:rsid w:val="0084182C"/>
    <w:rsid w:val="00841987"/>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A61"/>
    <w:rsid w:val="008632C0"/>
    <w:rsid w:val="00864238"/>
    <w:rsid w:val="00864B96"/>
    <w:rsid w:val="008655B1"/>
    <w:rsid w:val="00865A8B"/>
    <w:rsid w:val="00866995"/>
    <w:rsid w:val="00866AA1"/>
    <w:rsid w:val="00866C67"/>
    <w:rsid w:val="00867151"/>
    <w:rsid w:val="0086772C"/>
    <w:rsid w:val="00867BCC"/>
    <w:rsid w:val="00867E07"/>
    <w:rsid w:val="008702BB"/>
    <w:rsid w:val="008708AF"/>
    <w:rsid w:val="00870EAF"/>
    <w:rsid w:val="0087135C"/>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C7D"/>
    <w:rsid w:val="00880F6C"/>
    <w:rsid w:val="00881166"/>
    <w:rsid w:val="008818F1"/>
    <w:rsid w:val="00881D0A"/>
    <w:rsid w:val="00882151"/>
    <w:rsid w:val="00882442"/>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6D8"/>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6823"/>
    <w:rsid w:val="008A7727"/>
    <w:rsid w:val="008A7D0D"/>
    <w:rsid w:val="008A7E44"/>
    <w:rsid w:val="008A7E55"/>
    <w:rsid w:val="008B00E3"/>
    <w:rsid w:val="008B0348"/>
    <w:rsid w:val="008B0F95"/>
    <w:rsid w:val="008B13D0"/>
    <w:rsid w:val="008B13DF"/>
    <w:rsid w:val="008B1C49"/>
    <w:rsid w:val="008B1ED0"/>
    <w:rsid w:val="008B224D"/>
    <w:rsid w:val="008B2C18"/>
    <w:rsid w:val="008B356B"/>
    <w:rsid w:val="008B3ED7"/>
    <w:rsid w:val="008B4239"/>
    <w:rsid w:val="008B4E9B"/>
    <w:rsid w:val="008B5D9A"/>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1A"/>
    <w:rsid w:val="008F33AA"/>
    <w:rsid w:val="008F38FD"/>
    <w:rsid w:val="008F3FB2"/>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274"/>
    <w:rsid w:val="009463A1"/>
    <w:rsid w:val="00946954"/>
    <w:rsid w:val="009470D1"/>
    <w:rsid w:val="00947171"/>
    <w:rsid w:val="0094749A"/>
    <w:rsid w:val="00947655"/>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02B"/>
    <w:rsid w:val="0097627A"/>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0F"/>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6CAA"/>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694"/>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809"/>
    <w:rsid w:val="009F1E72"/>
    <w:rsid w:val="009F230A"/>
    <w:rsid w:val="009F292C"/>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151F"/>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0F5"/>
    <w:rsid w:val="00A57C83"/>
    <w:rsid w:val="00A57E66"/>
    <w:rsid w:val="00A57F99"/>
    <w:rsid w:val="00A60AE9"/>
    <w:rsid w:val="00A60B63"/>
    <w:rsid w:val="00A60E5C"/>
    <w:rsid w:val="00A60EBF"/>
    <w:rsid w:val="00A61490"/>
    <w:rsid w:val="00A6180B"/>
    <w:rsid w:val="00A61BF2"/>
    <w:rsid w:val="00A61E45"/>
    <w:rsid w:val="00A62270"/>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95F"/>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494"/>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B6FFF"/>
    <w:rsid w:val="00AB75C1"/>
    <w:rsid w:val="00AB799F"/>
    <w:rsid w:val="00AC033F"/>
    <w:rsid w:val="00AC0607"/>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1BD8"/>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24"/>
    <w:rsid w:val="00B54954"/>
    <w:rsid w:val="00B54C19"/>
    <w:rsid w:val="00B56138"/>
    <w:rsid w:val="00B57C8E"/>
    <w:rsid w:val="00B6022D"/>
    <w:rsid w:val="00B60EB4"/>
    <w:rsid w:val="00B61C7E"/>
    <w:rsid w:val="00B61F6F"/>
    <w:rsid w:val="00B62C25"/>
    <w:rsid w:val="00B62DA9"/>
    <w:rsid w:val="00B63934"/>
    <w:rsid w:val="00B6424C"/>
    <w:rsid w:val="00B64BEC"/>
    <w:rsid w:val="00B64F9D"/>
    <w:rsid w:val="00B65103"/>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6A3"/>
    <w:rsid w:val="00B80FF5"/>
    <w:rsid w:val="00B81794"/>
    <w:rsid w:val="00B82381"/>
    <w:rsid w:val="00B82CB2"/>
    <w:rsid w:val="00B82F31"/>
    <w:rsid w:val="00B84464"/>
    <w:rsid w:val="00B852B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4554"/>
    <w:rsid w:val="00BD4727"/>
    <w:rsid w:val="00BD4B33"/>
    <w:rsid w:val="00BD5377"/>
    <w:rsid w:val="00BD54ED"/>
    <w:rsid w:val="00BD5737"/>
    <w:rsid w:val="00BD5ADD"/>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FE4"/>
    <w:rsid w:val="00BE7036"/>
    <w:rsid w:val="00BE7196"/>
    <w:rsid w:val="00BE7BB5"/>
    <w:rsid w:val="00BE7D7B"/>
    <w:rsid w:val="00BF0120"/>
    <w:rsid w:val="00BF0A47"/>
    <w:rsid w:val="00BF0F97"/>
    <w:rsid w:val="00BF117A"/>
    <w:rsid w:val="00BF1B1F"/>
    <w:rsid w:val="00BF34B1"/>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7C3"/>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4F"/>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E75"/>
    <w:rsid w:val="00C42FFC"/>
    <w:rsid w:val="00C4302C"/>
    <w:rsid w:val="00C431E3"/>
    <w:rsid w:val="00C432F5"/>
    <w:rsid w:val="00C43598"/>
    <w:rsid w:val="00C43FB7"/>
    <w:rsid w:val="00C44865"/>
    <w:rsid w:val="00C4602D"/>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238"/>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2764"/>
    <w:rsid w:val="00CD2AF4"/>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3608"/>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5BC5"/>
    <w:rsid w:val="00D26312"/>
    <w:rsid w:val="00D26419"/>
    <w:rsid w:val="00D26547"/>
    <w:rsid w:val="00D26BA2"/>
    <w:rsid w:val="00D273DE"/>
    <w:rsid w:val="00D30CF4"/>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12A"/>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91B"/>
    <w:rsid w:val="00D47D25"/>
    <w:rsid w:val="00D50269"/>
    <w:rsid w:val="00D504AE"/>
    <w:rsid w:val="00D513BC"/>
    <w:rsid w:val="00D51D44"/>
    <w:rsid w:val="00D5204D"/>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57D02"/>
    <w:rsid w:val="00D60342"/>
    <w:rsid w:val="00D60466"/>
    <w:rsid w:val="00D6143B"/>
    <w:rsid w:val="00D61828"/>
    <w:rsid w:val="00D61BD4"/>
    <w:rsid w:val="00D61E5E"/>
    <w:rsid w:val="00D62E5D"/>
    <w:rsid w:val="00D62F32"/>
    <w:rsid w:val="00D63339"/>
    <w:rsid w:val="00D63479"/>
    <w:rsid w:val="00D63D04"/>
    <w:rsid w:val="00D65150"/>
    <w:rsid w:val="00D6534E"/>
    <w:rsid w:val="00D65603"/>
    <w:rsid w:val="00D658AE"/>
    <w:rsid w:val="00D658D6"/>
    <w:rsid w:val="00D66558"/>
    <w:rsid w:val="00D6664A"/>
    <w:rsid w:val="00D66AD0"/>
    <w:rsid w:val="00D66F0C"/>
    <w:rsid w:val="00D67B3A"/>
    <w:rsid w:val="00D70B1E"/>
    <w:rsid w:val="00D70FF7"/>
    <w:rsid w:val="00D717A6"/>
    <w:rsid w:val="00D723B1"/>
    <w:rsid w:val="00D72F93"/>
    <w:rsid w:val="00D73006"/>
    <w:rsid w:val="00D7304F"/>
    <w:rsid w:val="00D733F3"/>
    <w:rsid w:val="00D7361F"/>
    <w:rsid w:val="00D73916"/>
    <w:rsid w:val="00D7412F"/>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10F"/>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4FC2"/>
    <w:rsid w:val="00DD52D7"/>
    <w:rsid w:val="00DD5420"/>
    <w:rsid w:val="00DD5741"/>
    <w:rsid w:val="00DD5892"/>
    <w:rsid w:val="00DD60AF"/>
    <w:rsid w:val="00DD6A93"/>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374"/>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06E"/>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3EDA"/>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3EA"/>
    <w:rsid w:val="00E4441F"/>
    <w:rsid w:val="00E44EE4"/>
    <w:rsid w:val="00E4542B"/>
    <w:rsid w:val="00E46CFC"/>
    <w:rsid w:val="00E476D4"/>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B98"/>
    <w:rsid w:val="00E92FE3"/>
    <w:rsid w:val="00E9457A"/>
    <w:rsid w:val="00E94E5C"/>
    <w:rsid w:val="00E95093"/>
    <w:rsid w:val="00E95EBF"/>
    <w:rsid w:val="00E96A09"/>
    <w:rsid w:val="00E96AF8"/>
    <w:rsid w:val="00E974EB"/>
    <w:rsid w:val="00E976AD"/>
    <w:rsid w:val="00E978BC"/>
    <w:rsid w:val="00E97D31"/>
    <w:rsid w:val="00EA0525"/>
    <w:rsid w:val="00EA06F1"/>
    <w:rsid w:val="00EA0EE5"/>
    <w:rsid w:val="00EA10D8"/>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46B8"/>
    <w:rsid w:val="00EB5660"/>
    <w:rsid w:val="00EB5C05"/>
    <w:rsid w:val="00EB6032"/>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80E"/>
    <w:rsid w:val="00EE1B6C"/>
    <w:rsid w:val="00EE249C"/>
    <w:rsid w:val="00EE38D7"/>
    <w:rsid w:val="00EE38E7"/>
    <w:rsid w:val="00EE5421"/>
    <w:rsid w:val="00EE5452"/>
    <w:rsid w:val="00EE59DE"/>
    <w:rsid w:val="00EE63FC"/>
    <w:rsid w:val="00EE6981"/>
    <w:rsid w:val="00EE75FD"/>
    <w:rsid w:val="00EE7EFC"/>
    <w:rsid w:val="00EE7F94"/>
    <w:rsid w:val="00EF155D"/>
    <w:rsid w:val="00EF1E6C"/>
    <w:rsid w:val="00EF2C00"/>
    <w:rsid w:val="00EF34CA"/>
    <w:rsid w:val="00EF366C"/>
    <w:rsid w:val="00EF3D73"/>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541"/>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01B"/>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4B5"/>
    <w:rsid w:val="00F637AE"/>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1CB1"/>
    <w:rsid w:val="00F92025"/>
    <w:rsid w:val="00F92432"/>
    <w:rsid w:val="00F925F8"/>
    <w:rsid w:val="00F928DB"/>
    <w:rsid w:val="00F92A72"/>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20"/>
    <w:rsid w:val="00FC6F4F"/>
    <w:rsid w:val="00FC7244"/>
    <w:rsid w:val="00FC76E9"/>
    <w:rsid w:val="00FC7FB3"/>
    <w:rsid w:val="00FD015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1AEE3DB-EB95-45B0-B077-62D4B27E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1130</TotalTime>
  <Pages>4</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283</cp:revision>
  <cp:lastPrinted>2018-04-06T13:41:00Z</cp:lastPrinted>
  <dcterms:created xsi:type="dcterms:W3CDTF">2019-04-01T13:39:00Z</dcterms:created>
  <dcterms:modified xsi:type="dcterms:W3CDTF">2019-08-16T14:18:00Z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